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EDE4" w14:textId="1FDA33FC" w:rsidR="005E51D3" w:rsidRDefault="00162E2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3ADA44CB" wp14:editId="695292E4">
            <wp:extent cx="1701800" cy="64071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389"/>
        <w:gridCol w:w="5298"/>
        <w:gridCol w:w="1111"/>
        <w:gridCol w:w="17"/>
      </w:tblGrid>
      <w:tr w:rsidR="005E51D3" w14:paraId="268AF722" w14:textId="77777777" w:rsidTr="001F4BDD">
        <w:trPr>
          <w:gridAfter w:val="1"/>
          <w:wAfter w:w="17" w:type="dxa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4CF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D7E4" w14:textId="37921B1B" w:rsidR="00DD41CC" w:rsidRPr="00C36576" w:rsidRDefault="00AA0462" w:rsidP="00DD41CC">
            <w:pPr>
              <w:spacing w:after="0"/>
            </w:pPr>
            <w:r w:rsidRPr="00C36576">
              <w:t>Business Development Executive – Framework Connect</w:t>
            </w:r>
          </w:p>
        </w:tc>
      </w:tr>
      <w:tr w:rsidR="005E51D3" w14:paraId="28887615" w14:textId="77777777" w:rsidTr="001F4BDD">
        <w:trPr>
          <w:gridAfter w:val="1"/>
          <w:wAfter w:w="17" w:type="dxa"/>
          <w:trHeight w:val="425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9AC2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C38E24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6D4DF43E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D3AD" w14:textId="0C9FE909" w:rsidR="005E51D3" w:rsidRPr="00C36576" w:rsidRDefault="002A6354">
            <w:r w:rsidRPr="00C36576">
              <w:t>Sales</w:t>
            </w:r>
            <w:r w:rsidR="00916511" w:rsidRPr="00C36576">
              <w:t xml:space="preserve"> </w:t>
            </w:r>
          </w:p>
        </w:tc>
      </w:tr>
      <w:tr w:rsidR="005E51D3" w14:paraId="1035E4B7" w14:textId="77777777" w:rsidTr="001F4BDD">
        <w:trPr>
          <w:gridAfter w:val="1"/>
          <w:wAfter w:w="17" w:type="dxa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BC2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EFD0" w14:textId="48F1562C" w:rsidR="005E51D3" w:rsidRPr="00C36576" w:rsidRDefault="002F0803">
            <w:pPr>
              <w:spacing w:after="0"/>
            </w:pPr>
            <w:r w:rsidRPr="00C36576">
              <w:t xml:space="preserve"> </w:t>
            </w:r>
          </w:p>
          <w:p w14:paraId="4FFBF6BF" w14:textId="77777777" w:rsidR="005E51D3" w:rsidRPr="00C36576" w:rsidRDefault="005E51D3">
            <w:pPr>
              <w:spacing w:after="0"/>
            </w:pPr>
          </w:p>
        </w:tc>
      </w:tr>
      <w:tr w:rsidR="005E51D3" w14:paraId="42DC42C0" w14:textId="77777777" w:rsidTr="001F4BDD">
        <w:trPr>
          <w:gridAfter w:val="1"/>
          <w:wAfter w:w="17" w:type="dxa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0676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FC8CFB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25D6244F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A957" w14:textId="6D83BCC9" w:rsidR="005E51D3" w:rsidRPr="00C36576" w:rsidRDefault="005E51D3" w:rsidP="00443DDF">
            <w:pPr>
              <w:spacing w:after="0"/>
            </w:pPr>
          </w:p>
        </w:tc>
      </w:tr>
      <w:tr w:rsidR="005E51D3" w14:paraId="56D161B9" w14:textId="77777777" w:rsidTr="001F4BDD">
        <w:trPr>
          <w:gridAfter w:val="1"/>
          <w:wAfter w:w="17" w:type="dxa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98E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E66A" w14:textId="59291911" w:rsidR="005E51D3" w:rsidRPr="00C36576" w:rsidRDefault="002A6354">
            <w:pPr>
              <w:spacing w:after="0"/>
            </w:pPr>
            <w:r w:rsidRPr="00C36576">
              <w:t xml:space="preserve">Framework Connect </w:t>
            </w:r>
          </w:p>
        </w:tc>
      </w:tr>
      <w:tr w:rsidR="005E51D3" w14:paraId="125E3A83" w14:textId="77777777" w:rsidTr="001F4BDD">
        <w:trPr>
          <w:gridAfter w:val="1"/>
          <w:wAfter w:w="17" w:type="dxa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ED1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3FDF" w14:textId="106B05FB" w:rsidR="002F0803" w:rsidRPr="00C36576" w:rsidRDefault="00AA0462" w:rsidP="002F0803">
            <w:pPr>
              <w:spacing w:after="0"/>
            </w:pPr>
            <w:r w:rsidRPr="00C36576">
              <w:t>Matt Finch</w:t>
            </w:r>
          </w:p>
        </w:tc>
      </w:tr>
      <w:tr w:rsidR="005E51D3" w14:paraId="26A47BDC" w14:textId="77777777" w:rsidTr="001F4BDD">
        <w:trPr>
          <w:gridAfter w:val="1"/>
          <w:wAfter w:w="17" w:type="dxa"/>
          <w:trHeight w:val="356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67A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0550C7D1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70E555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BED088E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3595" w14:textId="77777777" w:rsidR="005D6848" w:rsidRDefault="007F279B" w:rsidP="001F0F7F">
            <w:pPr>
              <w:spacing w:after="0"/>
              <w:rPr>
                <w:rFonts w:ascii="Aptos" w:hAnsi="Aptos"/>
                <w:color w:val="212121"/>
              </w:rPr>
            </w:pPr>
            <w:r>
              <w:t xml:space="preserve">The SCC Public Sector Sales </w:t>
            </w:r>
            <w:r w:rsidR="008832DB">
              <w:t xml:space="preserve">Team </w:t>
            </w:r>
            <w:r w:rsidR="00BE6193">
              <w:rPr>
                <w:rFonts w:ascii="Aptos" w:hAnsi="Aptos"/>
                <w:color w:val="212121"/>
              </w:rPr>
              <w:t>enabl</w:t>
            </w:r>
            <w:r w:rsidR="008832DB">
              <w:rPr>
                <w:rFonts w:ascii="Aptos" w:hAnsi="Aptos"/>
                <w:color w:val="212121"/>
              </w:rPr>
              <w:t>es</w:t>
            </w:r>
            <w:r w:rsidR="00BE6193">
              <w:rPr>
                <w:rFonts w:ascii="Aptos" w:hAnsi="Aptos"/>
                <w:color w:val="212121"/>
              </w:rPr>
              <w:t xml:space="preserve"> public sector organi</w:t>
            </w:r>
            <w:r w:rsidR="008832DB">
              <w:rPr>
                <w:rFonts w:ascii="Aptos" w:hAnsi="Aptos"/>
                <w:color w:val="212121"/>
              </w:rPr>
              <w:t>s</w:t>
            </w:r>
            <w:r w:rsidR="00BE6193">
              <w:rPr>
                <w:rFonts w:ascii="Aptos" w:hAnsi="Aptos"/>
                <w:color w:val="212121"/>
              </w:rPr>
              <w:t xml:space="preserve">ations to achieve their goals through </w:t>
            </w:r>
            <w:r w:rsidR="005D6848">
              <w:rPr>
                <w:rFonts w:ascii="Aptos" w:hAnsi="Aptos"/>
                <w:color w:val="212121"/>
              </w:rPr>
              <w:t xml:space="preserve">provision of </w:t>
            </w:r>
            <w:r w:rsidR="00BE6193">
              <w:rPr>
                <w:rFonts w:ascii="Aptos" w:hAnsi="Aptos"/>
                <w:color w:val="212121"/>
              </w:rPr>
              <w:t>innovative IT services and solutions</w:t>
            </w:r>
            <w:r w:rsidR="00355152">
              <w:rPr>
                <w:rFonts w:ascii="Aptos" w:hAnsi="Aptos"/>
                <w:color w:val="212121"/>
              </w:rPr>
              <w:t>, typically procuring via Frameworks.</w:t>
            </w:r>
            <w:r w:rsidR="005D6848">
              <w:rPr>
                <w:rFonts w:ascii="Aptos" w:hAnsi="Aptos"/>
                <w:color w:val="212121"/>
              </w:rPr>
              <w:t xml:space="preserve">  </w:t>
            </w:r>
            <w:r w:rsidR="00BE6193">
              <w:rPr>
                <w:rFonts w:ascii="Aptos" w:hAnsi="Aptos"/>
                <w:color w:val="212121"/>
              </w:rPr>
              <w:t xml:space="preserve">We are trusted advisors to government bodies, local authorities, healthcare institutions, and education providers. </w:t>
            </w:r>
          </w:p>
          <w:p w14:paraId="09BA5621" w14:textId="77777777" w:rsidR="005D6848" w:rsidRDefault="005D6848" w:rsidP="001F0F7F">
            <w:pPr>
              <w:spacing w:after="0"/>
              <w:rPr>
                <w:rFonts w:ascii="Aptos" w:hAnsi="Aptos"/>
                <w:color w:val="212121"/>
              </w:rPr>
            </w:pPr>
          </w:p>
          <w:p w14:paraId="479407AD" w14:textId="77777777" w:rsidR="00BE6193" w:rsidRDefault="00BE6193" w:rsidP="001F0F7F">
            <w:pPr>
              <w:spacing w:after="0"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 xml:space="preserve">With a growing portfolio of public sector frameworks, we are now expanding our partner ecosystem </w:t>
            </w:r>
            <w:r w:rsidR="008832DB">
              <w:rPr>
                <w:rFonts w:ascii="Aptos" w:hAnsi="Aptos"/>
                <w:color w:val="212121"/>
              </w:rPr>
              <w:t>to benefit from sell</w:t>
            </w:r>
            <w:r w:rsidR="007643F0">
              <w:rPr>
                <w:rFonts w:ascii="Aptos" w:hAnsi="Aptos"/>
                <w:color w:val="212121"/>
              </w:rPr>
              <w:t>ing</w:t>
            </w:r>
            <w:r w:rsidR="008832DB">
              <w:rPr>
                <w:rFonts w:ascii="Aptos" w:hAnsi="Aptos"/>
                <w:color w:val="212121"/>
              </w:rPr>
              <w:t xml:space="preserve"> through our Frameworks </w:t>
            </w:r>
            <w:r>
              <w:rPr>
                <w:rFonts w:ascii="Aptos" w:hAnsi="Aptos"/>
                <w:color w:val="212121"/>
              </w:rPr>
              <w:t>to accelerate growth and create mutual success.</w:t>
            </w:r>
          </w:p>
          <w:p w14:paraId="713BFC22" w14:textId="77777777" w:rsidR="007643F0" w:rsidRDefault="007643F0" w:rsidP="001F0F7F">
            <w:pPr>
              <w:spacing w:after="0"/>
              <w:rPr>
                <w:rFonts w:ascii="Aptos" w:hAnsi="Aptos"/>
                <w:color w:val="212121"/>
              </w:rPr>
            </w:pPr>
          </w:p>
          <w:p w14:paraId="254494D2" w14:textId="1FA8DE4E" w:rsidR="007643F0" w:rsidRDefault="007643F0" w:rsidP="007643F0">
            <w:pPr>
              <w:spacing w:after="0"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We are seeking a highly motivated and strategic Framework Connect</w:t>
            </w:r>
            <w:r w:rsidR="00715A96">
              <w:rPr>
                <w:rFonts w:ascii="Aptos" w:hAnsi="Aptos"/>
                <w:color w:val="212121"/>
              </w:rPr>
              <w:t xml:space="preserve"> (aka Partner Alliance / pass through) </w:t>
            </w:r>
            <w:r w:rsidR="00AA0462">
              <w:rPr>
                <w:rFonts w:ascii="Aptos" w:hAnsi="Aptos"/>
                <w:color w:val="212121"/>
              </w:rPr>
              <w:t>Business Development Executive</w:t>
            </w:r>
            <w:r>
              <w:rPr>
                <w:rFonts w:ascii="Aptos" w:hAnsi="Aptos"/>
                <w:color w:val="212121"/>
              </w:rPr>
              <w:t xml:space="preserve"> to identify, onboard, and manage </w:t>
            </w:r>
            <w:r w:rsidR="00123B19">
              <w:rPr>
                <w:rFonts w:ascii="Aptos" w:hAnsi="Aptos"/>
                <w:color w:val="212121"/>
              </w:rPr>
              <w:t xml:space="preserve">new </w:t>
            </w:r>
            <w:r>
              <w:rPr>
                <w:rFonts w:ascii="Aptos" w:hAnsi="Aptos"/>
                <w:color w:val="212121"/>
              </w:rPr>
              <w:t>technology and services partners. This role is focused on enabling partners to sell through</w:t>
            </w:r>
            <w:r>
              <w:rPr>
                <w:rStyle w:val="apple-converted-space"/>
                <w:rFonts w:ascii="Aptos" w:hAnsi="Aptos"/>
                <w:color w:val="212121"/>
              </w:rPr>
              <w:t> </w:t>
            </w:r>
            <w:r>
              <w:rPr>
                <w:rFonts w:ascii="Aptos" w:hAnsi="Aptos"/>
                <w:color w:val="212121"/>
              </w:rPr>
              <w:t xml:space="preserve">SCC’s public sector </w:t>
            </w:r>
            <w:r w:rsidR="006A2D9E">
              <w:rPr>
                <w:rFonts w:ascii="Aptos" w:hAnsi="Aptos"/>
                <w:color w:val="212121"/>
              </w:rPr>
              <w:t>F</w:t>
            </w:r>
            <w:r>
              <w:rPr>
                <w:rFonts w:ascii="Aptos" w:hAnsi="Aptos"/>
                <w:color w:val="212121"/>
              </w:rPr>
              <w:t xml:space="preserve">rameworks, ensuring compliance, value alignment, </w:t>
            </w:r>
            <w:r w:rsidR="006A2D9E">
              <w:rPr>
                <w:rFonts w:ascii="Aptos" w:hAnsi="Aptos"/>
                <w:color w:val="212121"/>
              </w:rPr>
              <w:t xml:space="preserve">margin </w:t>
            </w:r>
            <w:r>
              <w:rPr>
                <w:rFonts w:ascii="Aptos" w:hAnsi="Aptos"/>
                <w:color w:val="212121"/>
              </w:rPr>
              <w:t>and revenue growth.</w:t>
            </w:r>
          </w:p>
          <w:p w14:paraId="657723C7" w14:textId="545FC06D" w:rsidR="007643F0" w:rsidRPr="005D6848" w:rsidRDefault="007643F0" w:rsidP="00C36576">
            <w:pPr>
              <w:spacing w:after="0"/>
              <w:rPr>
                <w:rFonts w:ascii="Aptos" w:hAnsi="Aptos"/>
                <w:color w:val="212121"/>
              </w:rPr>
            </w:pPr>
          </w:p>
        </w:tc>
      </w:tr>
      <w:tr w:rsidR="005E51D3" w14:paraId="123B1E2E" w14:textId="77777777" w:rsidTr="001F4BDD">
        <w:trPr>
          <w:gridAfter w:val="1"/>
          <w:wAfter w:w="17" w:type="dxa"/>
          <w:trHeight w:val="356"/>
        </w:trPr>
        <w:tc>
          <w:tcPr>
            <w:tcW w:w="2607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765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FC7D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3D6098A" w14:textId="77777777" w:rsidTr="001F4BDD">
        <w:trPr>
          <w:gridAfter w:val="1"/>
          <w:wAfter w:w="17" w:type="dxa"/>
        </w:trPr>
        <w:tc>
          <w:tcPr>
            <w:tcW w:w="90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8B3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3346F29C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2167EA" w14:paraId="5AAABA81" w14:textId="77777777" w:rsidTr="001F4BDD">
        <w:trPr>
          <w:gridAfter w:val="1"/>
          <w:wAfter w:w="17" w:type="dxa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31F4" w14:textId="77777777" w:rsidR="007F7276" w:rsidRPr="007F7276" w:rsidRDefault="007F7276" w:rsidP="002167EA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/>
                <w:color w:val="212121"/>
              </w:rPr>
            </w:pPr>
            <w:r w:rsidRPr="007F7276">
              <w:rPr>
                <w:rFonts w:asciiTheme="minorHAnsi" w:hAnsiTheme="minorHAnsi"/>
              </w:rPr>
              <w:t>Growing the business in line with company aspirations for Framework Connect, both in terms revenue and profitability, whilst maintaining an acceptable rate of margin</w:t>
            </w:r>
            <w:r w:rsidRPr="007F7276">
              <w:rPr>
                <w:rFonts w:asciiTheme="minorHAnsi" w:hAnsiTheme="minorHAnsi"/>
                <w:color w:val="212121"/>
              </w:rPr>
              <w:t xml:space="preserve"> </w:t>
            </w:r>
          </w:p>
          <w:p w14:paraId="4E0C2A74" w14:textId="3D4C67DF" w:rsidR="002167EA" w:rsidRDefault="002167EA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Identify and recruit</w:t>
            </w:r>
            <w:r w:rsidR="00AB7DD6">
              <w:rPr>
                <w:rFonts w:ascii="Aptos" w:hAnsi="Aptos"/>
                <w:color w:val="212121"/>
              </w:rPr>
              <w:t xml:space="preserve"> new</w:t>
            </w:r>
            <w:r>
              <w:rPr>
                <w:rFonts w:ascii="Aptos" w:hAnsi="Aptos"/>
                <w:color w:val="212121"/>
              </w:rPr>
              <w:t xml:space="preserve"> partners who can benefit from accessing public sector opportunities via SCC frameworks (e.g.</w:t>
            </w:r>
            <w:r w:rsidR="00AA0462">
              <w:rPr>
                <w:rFonts w:ascii="Aptos" w:hAnsi="Aptos"/>
                <w:color w:val="212121"/>
              </w:rPr>
              <w:t xml:space="preserve"> CCS, </w:t>
            </w:r>
            <w:r>
              <w:rPr>
                <w:rFonts w:ascii="Aptos" w:hAnsi="Aptos"/>
                <w:color w:val="212121"/>
              </w:rPr>
              <w:t>HTE,</w:t>
            </w:r>
            <w:r w:rsidR="00AA0462">
              <w:rPr>
                <w:rFonts w:ascii="Aptos" w:hAnsi="Aptos"/>
                <w:color w:val="212121"/>
              </w:rPr>
              <w:t xml:space="preserve"> SBS</w:t>
            </w:r>
            <w:r>
              <w:rPr>
                <w:rFonts w:ascii="Aptos" w:hAnsi="Aptos"/>
                <w:color w:val="212121"/>
              </w:rPr>
              <w:t xml:space="preserve"> etc.)</w:t>
            </w:r>
          </w:p>
          <w:p w14:paraId="43C58446" w14:textId="1A9F9D1D" w:rsidR="002167EA" w:rsidRDefault="002167EA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 xml:space="preserve">Manage the end-to-end onboarding process, including </w:t>
            </w:r>
            <w:r w:rsidR="00BE3C2D">
              <w:rPr>
                <w:rFonts w:ascii="Aptos" w:hAnsi="Aptos"/>
                <w:color w:val="212121"/>
              </w:rPr>
              <w:t xml:space="preserve">financial stability assessment, </w:t>
            </w:r>
            <w:r>
              <w:rPr>
                <w:rFonts w:ascii="Aptos" w:hAnsi="Aptos"/>
                <w:color w:val="212121"/>
              </w:rPr>
              <w:t xml:space="preserve">ensuring partners are properly enabled and compliant with </w:t>
            </w:r>
            <w:r w:rsidR="00BE3C2D">
              <w:rPr>
                <w:rFonts w:ascii="Aptos" w:hAnsi="Aptos"/>
                <w:color w:val="212121"/>
              </w:rPr>
              <w:t>our partnership contract and F</w:t>
            </w:r>
            <w:r>
              <w:rPr>
                <w:rFonts w:ascii="Aptos" w:hAnsi="Aptos"/>
                <w:color w:val="212121"/>
              </w:rPr>
              <w:t>ramework requirements.</w:t>
            </w:r>
          </w:p>
          <w:p w14:paraId="2C06683C" w14:textId="2CC04AC4" w:rsidR="00B533F7" w:rsidRDefault="00B533F7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Identify and evaluate suitable tenders for Framework Connect partners</w:t>
            </w:r>
            <w:r w:rsidR="001B7492">
              <w:rPr>
                <w:rFonts w:ascii="Aptos" w:hAnsi="Aptos"/>
                <w:color w:val="212121"/>
              </w:rPr>
              <w:t>, including working with Sales to expedite any suitable opportunities</w:t>
            </w:r>
          </w:p>
          <w:p w14:paraId="763C30E6" w14:textId="5E23FB5E" w:rsidR="008053DB" w:rsidRDefault="008053DB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Record and update opportunities and pipeline</w:t>
            </w:r>
            <w:r w:rsidR="00A65661">
              <w:rPr>
                <w:rFonts w:ascii="Aptos" w:hAnsi="Aptos"/>
                <w:color w:val="212121"/>
              </w:rPr>
              <w:t xml:space="preserve"> status</w:t>
            </w:r>
            <w:r>
              <w:rPr>
                <w:rFonts w:ascii="Aptos" w:hAnsi="Aptos"/>
                <w:color w:val="212121"/>
              </w:rPr>
              <w:t xml:space="preserve"> in SCC’s CRM system</w:t>
            </w:r>
          </w:p>
          <w:p w14:paraId="0B704CFF" w14:textId="7BDD5CC0" w:rsidR="002167EA" w:rsidRDefault="002167EA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lastRenderedPageBreak/>
              <w:t>Develop joint go-to-market strategies with partners to drive pipeline and sales within the public sector.</w:t>
            </w:r>
          </w:p>
          <w:p w14:paraId="6E4684C3" w14:textId="4864BFFE" w:rsidR="002167EA" w:rsidRDefault="002167EA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Act as the main point of contact for assigned partners, building strong relationships and ensuring alignment with</w:t>
            </w:r>
            <w:r>
              <w:rPr>
                <w:rStyle w:val="apple-converted-space"/>
                <w:rFonts w:ascii="Aptos" w:hAnsi="Aptos"/>
                <w:color w:val="212121"/>
              </w:rPr>
              <w:t> </w:t>
            </w:r>
            <w:r>
              <w:rPr>
                <w:rFonts w:ascii="Aptos" w:hAnsi="Aptos"/>
                <w:color w:val="212121"/>
              </w:rPr>
              <w:t>SCC’s objectives.</w:t>
            </w:r>
          </w:p>
          <w:p w14:paraId="22601A89" w14:textId="4E5B03C7" w:rsidR="002167EA" w:rsidRDefault="002167EA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Work cross-functionally with legal, compliance, marketing, and sales teams to support partner success and framework utili</w:t>
            </w:r>
            <w:r w:rsidR="00185AE2">
              <w:rPr>
                <w:rFonts w:ascii="Aptos" w:hAnsi="Aptos"/>
                <w:color w:val="212121"/>
              </w:rPr>
              <w:t>s</w:t>
            </w:r>
            <w:r>
              <w:rPr>
                <w:rFonts w:ascii="Aptos" w:hAnsi="Aptos"/>
                <w:color w:val="212121"/>
              </w:rPr>
              <w:t>ation.</w:t>
            </w:r>
          </w:p>
          <w:p w14:paraId="5BE6D09C" w14:textId="77777777" w:rsidR="002167EA" w:rsidRDefault="002167EA" w:rsidP="002167EA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Monitor and report on partner performance, providing insights and recommendations for improvement.</w:t>
            </w:r>
          </w:p>
          <w:p w14:paraId="463C369D" w14:textId="7FEA2391" w:rsidR="002167EA" w:rsidRPr="00AA0462" w:rsidRDefault="002167EA" w:rsidP="00AA0462">
            <w:pPr>
              <w:pStyle w:val="NormalWeb"/>
              <w:numPr>
                <w:ilvl w:val="0"/>
                <w:numId w:val="3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Maintain up-to-date knowledge of relevant public sector frameworks, policies, and procurement processes.</w:t>
            </w:r>
          </w:p>
          <w:p w14:paraId="0F07EFF7" w14:textId="77777777" w:rsidR="002167EA" w:rsidRDefault="002167EA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E8DA2C8" w14:textId="77777777" w:rsidR="002167EA" w:rsidRDefault="002167E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7BB167FF" w14:textId="77777777" w:rsidTr="001F4BDD">
        <w:trPr>
          <w:gridAfter w:val="1"/>
          <w:wAfter w:w="17" w:type="dxa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DD9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Person Specification </w:t>
            </w:r>
          </w:p>
          <w:p w14:paraId="42601925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B3864" w14:paraId="78FA0B67" w14:textId="77777777" w:rsidTr="001F4BDD">
        <w:trPr>
          <w:gridAfter w:val="1"/>
          <w:wAfter w:w="17" w:type="dxa"/>
          <w:trHeight w:val="2980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73EE" w14:textId="77777777" w:rsidR="001F4BDD" w:rsidRDefault="001F4BDD" w:rsidP="001F4BDD">
            <w:pPr>
              <w:pStyle w:val="NormalWeb"/>
              <w:numPr>
                <w:ilvl w:val="0"/>
                <w:numId w:val="4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Proven experience in partner/channel sales, alliance management, or business development—ideally within the technology or IT services sector.</w:t>
            </w:r>
          </w:p>
          <w:p w14:paraId="6B804740" w14:textId="77777777" w:rsidR="001F4BDD" w:rsidRDefault="001F4BDD" w:rsidP="001F4BDD">
            <w:pPr>
              <w:pStyle w:val="NormalWeb"/>
              <w:numPr>
                <w:ilvl w:val="0"/>
                <w:numId w:val="4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Familiarity with public sector procurement and government frameworks (UK-specific frameworks a strong plus).</w:t>
            </w:r>
          </w:p>
          <w:p w14:paraId="333A61A1" w14:textId="1A674ADC" w:rsidR="001F4BDD" w:rsidRDefault="001F4BDD" w:rsidP="001F4BDD">
            <w:pPr>
              <w:pStyle w:val="NormalWeb"/>
              <w:numPr>
                <w:ilvl w:val="0"/>
                <w:numId w:val="4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Strong commercial acumen and ability to develop win-win propositions for both</w:t>
            </w:r>
            <w:r>
              <w:rPr>
                <w:rStyle w:val="apple-converted-space"/>
                <w:rFonts w:ascii="Aptos" w:hAnsi="Aptos"/>
                <w:color w:val="212121"/>
              </w:rPr>
              <w:t> </w:t>
            </w:r>
            <w:r>
              <w:rPr>
                <w:rFonts w:ascii="Aptos" w:hAnsi="Aptos"/>
                <w:color w:val="212121"/>
              </w:rPr>
              <w:t>SCC</w:t>
            </w:r>
            <w:r>
              <w:rPr>
                <w:rStyle w:val="apple-converted-space"/>
                <w:rFonts w:ascii="Aptos" w:hAnsi="Aptos"/>
                <w:color w:val="212121"/>
              </w:rPr>
              <w:t> </w:t>
            </w:r>
            <w:r>
              <w:rPr>
                <w:rFonts w:ascii="Aptos" w:hAnsi="Aptos"/>
                <w:color w:val="212121"/>
              </w:rPr>
              <w:t>and partners.</w:t>
            </w:r>
          </w:p>
          <w:p w14:paraId="61C02F3C" w14:textId="77777777" w:rsidR="001F4BDD" w:rsidRDefault="001F4BDD" w:rsidP="001F4BDD">
            <w:pPr>
              <w:pStyle w:val="NormalWeb"/>
              <w:numPr>
                <w:ilvl w:val="0"/>
                <w:numId w:val="4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Excellent interpersonal and communication skills.</w:t>
            </w:r>
          </w:p>
          <w:p w14:paraId="24E0F128" w14:textId="77777777" w:rsidR="001F4BDD" w:rsidRDefault="001F4BDD" w:rsidP="001F4BDD">
            <w:pPr>
              <w:pStyle w:val="NormalWeb"/>
              <w:numPr>
                <w:ilvl w:val="0"/>
                <w:numId w:val="4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Self-starter with the ability to work independently and as part of a collaborative team.</w:t>
            </w:r>
          </w:p>
          <w:p w14:paraId="649055A2" w14:textId="77777777" w:rsidR="001F4BDD" w:rsidRDefault="001F4BDD" w:rsidP="001F4BDD">
            <w:pPr>
              <w:pStyle w:val="NormalWeb"/>
              <w:numPr>
                <w:ilvl w:val="0"/>
                <w:numId w:val="4"/>
              </w:num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Experience using CRM and partner management tools.</w:t>
            </w:r>
          </w:p>
          <w:p w14:paraId="53477FAE" w14:textId="05CE567F" w:rsidR="007B3864" w:rsidRDefault="007B3864" w:rsidP="002167EA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699073B8" w14:textId="77777777" w:rsidTr="001F4BDD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1ADB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19D54749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7B96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BDE895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22E22919" w14:textId="77777777" w:rsidTr="001F4BDD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0A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DBDF" w14:textId="736BC73F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Marketing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E35D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65C34775" w14:textId="77777777" w:rsidTr="001F4BDD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746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88D4" w14:textId="7180B9A1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1F0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3DD6DCBC" w14:textId="77777777" w:rsidTr="001F4BDD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389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73F" w14:textId="7E58B0F7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Management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2A91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25AE6018" w14:textId="77777777" w:rsidTr="001F4BDD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ECE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C370" w14:textId="16FE2859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Planning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8D01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13C22F11" w14:textId="77777777" w:rsidTr="001F4BDD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2E9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47B2" w14:textId="64AB7B2F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Analysis and Reporting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66A2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4A69D90C" w14:textId="77777777" w:rsidTr="001F4BDD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6D5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F44D" w14:textId="72D7B0FA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Focus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FE12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162E2F" w14:paraId="52BE1DB3" w14:textId="77777777" w:rsidTr="001F4BDD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727D" w14:textId="52F28A21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FB6E" w14:textId="178A6576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7284" w14:textId="77777777" w:rsidR="00162E2F" w:rsidRDefault="00162E2F">
            <w:pPr>
              <w:spacing w:after="0"/>
              <w:rPr>
                <w:sz w:val="20"/>
                <w:szCs w:val="20"/>
              </w:rPr>
            </w:pPr>
          </w:p>
        </w:tc>
      </w:tr>
      <w:tr w:rsidR="00162E2F" w14:paraId="0A47D29D" w14:textId="77777777" w:rsidTr="001F4BDD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FF37" w14:textId="1C597E07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AB29" w14:textId="65D68533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Industry Knowledge of Software and Security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16FE" w14:textId="77777777" w:rsidR="00162E2F" w:rsidRDefault="00162E2F">
            <w:pPr>
              <w:spacing w:after="0"/>
              <w:rPr>
                <w:sz w:val="20"/>
                <w:szCs w:val="20"/>
              </w:rPr>
            </w:pPr>
          </w:p>
        </w:tc>
      </w:tr>
      <w:bookmarkEnd w:id="0"/>
    </w:tbl>
    <w:p w14:paraId="59B87966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4DB33177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284E" w14:textId="77777777" w:rsidR="0047265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Management </w:t>
            </w:r>
          </w:p>
          <w:p w14:paraId="0E15018B" w14:textId="77777777" w:rsidR="0047265C" w:rsidRDefault="0047265C" w:rsidP="008A14F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F6B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24E377B" w14:textId="77777777" w:rsidR="0047265C" w:rsidRPr="008A14F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362E992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C84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CF6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Leading, Developing and Managing People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BC5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50E2F66C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E39C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B1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and Decision Making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46E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0DC75FD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5E8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6451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Influencing Others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5A42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14F07DB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3225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8A4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Embracing the need for change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F77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482E3BEE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4A6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E2C2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Thinking &amp; Acting Strategically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F7ED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4E00BC7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E49E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3BFD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Analysis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5AC2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0506A85F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E73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CF6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F696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681C3504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E9C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4F2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Experience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744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669AE12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B74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6DC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0662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4F07217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53B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66B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Competency Assessment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99B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F9C5781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4B0973A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D851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Value Behaviours </w:t>
            </w:r>
          </w:p>
          <w:p w14:paraId="25D856D9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7E1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96BE3A8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42A6609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B74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C2D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4D62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364012A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B52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6E0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7428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37A23CC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91E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4F9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2E2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38D4967B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773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49C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FD63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12A5DC7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CC8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CA0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7157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6999F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142FA2AA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0F9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7B0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E7E7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5F0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C49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D658987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0F41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ECA2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C949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C77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7B9A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B3864" w14:paraId="5ABAC02D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DDEE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BDCA" w14:textId="77777777" w:rsidR="007B3864" w:rsidRDefault="007B3864" w:rsidP="007B38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CF6B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F7F6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8C22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496B77A8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C3FA" w14:textId="77777777" w:rsidR="00AA6ECF" w:rsidRDefault="00AA6ECF">
      <w:pPr>
        <w:spacing w:after="0"/>
      </w:pPr>
      <w:r>
        <w:separator/>
      </w:r>
    </w:p>
  </w:endnote>
  <w:endnote w:type="continuationSeparator" w:id="0">
    <w:p w14:paraId="79C525B8" w14:textId="77777777" w:rsidR="00AA6ECF" w:rsidRDefault="00AA6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7BC70" w14:textId="77777777" w:rsidR="00AA6ECF" w:rsidRDefault="00AA6E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12E95E" w14:textId="77777777" w:rsidR="00AA6ECF" w:rsidRDefault="00AA6E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2F7A"/>
    <w:multiLevelType w:val="multilevel"/>
    <w:tmpl w:val="322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4752D"/>
    <w:multiLevelType w:val="multilevel"/>
    <w:tmpl w:val="8E3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A47B9"/>
    <w:multiLevelType w:val="hybridMultilevel"/>
    <w:tmpl w:val="958E1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7E73"/>
    <w:multiLevelType w:val="multilevel"/>
    <w:tmpl w:val="9C1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694956">
    <w:abstractNumId w:val="2"/>
  </w:num>
  <w:num w:numId="2" w16cid:durableId="783503159">
    <w:abstractNumId w:val="1"/>
  </w:num>
  <w:num w:numId="3" w16cid:durableId="977153104">
    <w:abstractNumId w:val="3"/>
  </w:num>
  <w:num w:numId="4" w16cid:durableId="112997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31962"/>
    <w:rsid w:val="00054048"/>
    <w:rsid w:val="0009635D"/>
    <w:rsid w:val="000973A6"/>
    <w:rsid w:val="000F705D"/>
    <w:rsid w:val="00123B19"/>
    <w:rsid w:val="00162E2F"/>
    <w:rsid w:val="00185AE2"/>
    <w:rsid w:val="001B7492"/>
    <w:rsid w:val="001D5473"/>
    <w:rsid w:val="001F0F7F"/>
    <w:rsid w:val="001F4BDD"/>
    <w:rsid w:val="002167EA"/>
    <w:rsid w:val="002A6354"/>
    <w:rsid w:val="002F0803"/>
    <w:rsid w:val="00355152"/>
    <w:rsid w:val="003A5D55"/>
    <w:rsid w:val="0043394D"/>
    <w:rsid w:val="00443D30"/>
    <w:rsid w:val="00443DDF"/>
    <w:rsid w:val="0047265C"/>
    <w:rsid w:val="00487D60"/>
    <w:rsid w:val="005D6848"/>
    <w:rsid w:val="005E51D3"/>
    <w:rsid w:val="00630BD4"/>
    <w:rsid w:val="006A2D9E"/>
    <w:rsid w:val="00715A96"/>
    <w:rsid w:val="007643F0"/>
    <w:rsid w:val="007B3864"/>
    <w:rsid w:val="007F279B"/>
    <w:rsid w:val="007F7276"/>
    <w:rsid w:val="008053DB"/>
    <w:rsid w:val="008832DB"/>
    <w:rsid w:val="00887598"/>
    <w:rsid w:val="008A14FC"/>
    <w:rsid w:val="0091261A"/>
    <w:rsid w:val="00916511"/>
    <w:rsid w:val="00950D17"/>
    <w:rsid w:val="009A6D58"/>
    <w:rsid w:val="00A65661"/>
    <w:rsid w:val="00A761EE"/>
    <w:rsid w:val="00A77753"/>
    <w:rsid w:val="00AA0462"/>
    <w:rsid w:val="00AA6ECF"/>
    <w:rsid w:val="00AB7DD6"/>
    <w:rsid w:val="00AE476A"/>
    <w:rsid w:val="00B533F7"/>
    <w:rsid w:val="00B66A29"/>
    <w:rsid w:val="00B85E30"/>
    <w:rsid w:val="00BE3C2D"/>
    <w:rsid w:val="00BE6193"/>
    <w:rsid w:val="00C36576"/>
    <w:rsid w:val="00CA0D0A"/>
    <w:rsid w:val="00DB0377"/>
    <w:rsid w:val="00DD41CC"/>
    <w:rsid w:val="00E561D8"/>
    <w:rsid w:val="00E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16E3"/>
  <w15:docId w15:val="{3595A8E6-1911-488D-9004-BFC91BC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6511"/>
    <w:pPr>
      <w:ind w:left="720"/>
    </w:pPr>
  </w:style>
  <w:style w:type="character" w:customStyle="1" w:styleId="apple-converted-space">
    <w:name w:val="apple-converted-space"/>
    <w:basedOn w:val="DefaultParagraphFont"/>
    <w:rsid w:val="00A77753"/>
  </w:style>
  <w:style w:type="paragraph" w:styleId="NormalWeb">
    <w:name w:val="Normal (Web)"/>
    <w:basedOn w:val="Normal"/>
    <w:uiPriority w:val="99"/>
    <w:unhideWhenUsed/>
    <w:rsid w:val="002167EA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Matthew Finch</cp:lastModifiedBy>
  <cp:revision>2</cp:revision>
  <cp:lastPrinted>2022-06-21T11:29:00Z</cp:lastPrinted>
  <dcterms:created xsi:type="dcterms:W3CDTF">2025-04-23T14:31:00Z</dcterms:created>
  <dcterms:modified xsi:type="dcterms:W3CDTF">2025-04-23T14:31:00Z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1466005051</vt:i4>
  </property>
  <property fmtid="{D5CDD505-2E9C-101B-9397-08002B2CF9AE}" pid="3" name="_NewReviewCycle">
    <vt:lpwstr/>
  </property>
  <property fmtid="{D5CDD505-2E9C-101B-9397-08002B2CF9AE}" pid="4" name="_EmailSubject">
    <vt:lpwstr>Kay Cooke - Please add to the Managers Hub on Evie</vt:lpwstr>
  </property>
  <property fmtid="{D5CDD505-2E9C-101B-9397-08002B2CF9AE}" pid="5" name="_AuthorEmail">
    <vt:lpwstr>Anita.Kambo@scc.com</vt:lpwstr>
  </property>
  <property fmtid="{D5CDD505-2E9C-101B-9397-08002B2CF9AE}" pid="6" name="_AuthorEmailDisplayName">
    <vt:lpwstr>Anita Kambo</vt:lpwstr>
  </property>
  <property fmtid="{D5CDD505-2E9C-101B-9397-08002B2CF9AE}" pid="7" name="_ReviewingToolsShownOnce">
    <vt:lpwstr/>
  </property>
</Properties>
</file>