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5E51D3" w:rsidRDefault="001B4C68" w:rsidP="00195A72">
      <w:pPr>
        <w:jc w:val="both"/>
      </w:pPr>
      <w:r w:rsidRPr="00630BD4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2A0B3FB3" wp14:editId="07777777">
            <wp:extent cx="1704975" cy="638175"/>
            <wp:effectExtent l="0" t="0" r="0" b="0"/>
            <wp:docPr id="1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14:paraId="332D6C5C" w14:textId="77777777" w:rsidTr="133F1F1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25B2" w14:textId="77777777" w:rsidR="005E51D3" w:rsidRDefault="0091261A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2C439" w14:textId="77777777" w:rsidR="005E51D3" w:rsidRDefault="00892FDC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Delivery Manager</w:t>
            </w:r>
          </w:p>
          <w:p w14:paraId="0A37501D" w14:textId="77777777" w:rsidR="00DD41CC" w:rsidRDefault="00DD41CC" w:rsidP="00195A72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5E51D3" w14:paraId="0F429F34" w14:textId="77777777" w:rsidTr="133F1F1B">
        <w:trPr>
          <w:trHeight w:val="425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6652" w14:textId="77777777" w:rsidR="005E51D3" w:rsidRDefault="0091261A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  <w:p w14:paraId="02EB378F" w14:textId="77777777" w:rsidR="005E51D3" w:rsidRDefault="005E51D3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1ECCB" w14:textId="77777777" w:rsidR="005E51D3" w:rsidRDefault="00423413" w:rsidP="00195A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Delivery Manager, Service Delivery</w:t>
            </w:r>
          </w:p>
        </w:tc>
      </w:tr>
      <w:tr w:rsidR="005E51D3" w14:paraId="310FECD8" w14:textId="77777777" w:rsidTr="133F1F1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94F64" w14:textId="77777777" w:rsidR="005E51D3" w:rsidRDefault="0091261A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Career Growth Level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4288" w14:textId="77777777" w:rsidR="005E51D3" w:rsidRDefault="00DD41CC" w:rsidP="00195A72">
            <w:pPr>
              <w:spacing w:after="0"/>
              <w:jc w:val="both"/>
              <w:rPr>
                <w:sz w:val="20"/>
                <w:szCs w:val="20"/>
              </w:rPr>
            </w:pPr>
            <w:r w:rsidRPr="38F627BE">
              <w:rPr>
                <w:sz w:val="20"/>
                <w:szCs w:val="20"/>
              </w:rPr>
              <w:t xml:space="preserve">Contributing &amp; Developing </w:t>
            </w:r>
            <w:r w:rsidR="002F0803" w:rsidRPr="38F627BE">
              <w:rPr>
                <w:sz w:val="20"/>
                <w:szCs w:val="20"/>
              </w:rPr>
              <w:t>(D)</w:t>
            </w:r>
          </w:p>
          <w:p w14:paraId="6A05A809" w14:textId="4EB4FA8C" w:rsidR="009A67D1" w:rsidRDefault="009A67D1" w:rsidP="00195A72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5E51D3" w14:paraId="74AD2AEB" w14:textId="77777777" w:rsidTr="133F1F1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13C5" w14:textId="77777777" w:rsidR="005E51D3" w:rsidRDefault="0091261A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CGP Descriptor </w:t>
            </w:r>
          </w:p>
          <w:p w14:paraId="41C8F396" w14:textId="77777777" w:rsidR="005E51D3" w:rsidRDefault="005E51D3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A8DE" w14:textId="77777777" w:rsidR="005E51D3" w:rsidRDefault="002F0803" w:rsidP="00195A72">
            <w:pPr>
              <w:spacing w:after="0"/>
              <w:jc w:val="both"/>
              <w:rPr>
                <w:sz w:val="20"/>
                <w:szCs w:val="20"/>
              </w:rPr>
            </w:pPr>
            <w:r w:rsidRPr="002F0803">
              <w:rPr>
                <w:sz w:val="20"/>
                <w:szCs w:val="20"/>
              </w:rPr>
              <w:t>Qualified specialists, recognised for their expertise, serving as pivotal contributors in various domains. These specialists play a vital role in influencing and shaping new business strategies, policies, practices, and content, catering to both external and internal customers. Their responsibilities may encompass problem-solving and the development and execution of purpose-driven solutions, often of a complex nature, to meet the specific needs of both external and internal customers</w:t>
            </w:r>
            <w:r w:rsidR="007637D9">
              <w:rPr>
                <w:sz w:val="20"/>
                <w:szCs w:val="20"/>
              </w:rPr>
              <w:t>.</w:t>
            </w:r>
          </w:p>
        </w:tc>
      </w:tr>
      <w:tr w:rsidR="005E51D3" w14:paraId="180B01CA" w14:textId="77777777" w:rsidTr="133F1F1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158E" w14:textId="77777777" w:rsidR="005E51D3" w:rsidRDefault="0091261A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Team 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126D3" w14:textId="77777777" w:rsidR="005E51D3" w:rsidRDefault="00423413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Delivery</w:t>
            </w:r>
          </w:p>
          <w:p w14:paraId="72A3D3EC" w14:textId="77777777" w:rsidR="005E51D3" w:rsidRDefault="005E51D3" w:rsidP="00195A72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5E51D3" w14:paraId="1FB069CE" w14:textId="77777777" w:rsidTr="133F1F1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F61D" w14:textId="77777777" w:rsidR="005E51D3" w:rsidRDefault="0091261A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Reports to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4B1FF" w14:textId="77777777" w:rsidR="002F0803" w:rsidRDefault="00423413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SDM Lead</w:t>
            </w:r>
          </w:p>
        </w:tc>
      </w:tr>
      <w:tr w:rsidR="005E51D3" w14:paraId="434ED927" w14:textId="77777777" w:rsidTr="133F1F1B">
        <w:trPr>
          <w:trHeight w:val="356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E788" w14:textId="77777777" w:rsidR="005E51D3" w:rsidRDefault="0091261A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Purpose </w:t>
            </w:r>
          </w:p>
          <w:p w14:paraId="0E27B00A" w14:textId="77777777" w:rsidR="005E51D3" w:rsidRDefault="005E51D3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  <w:p w14:paraId="60061E4C" w14:textId="77777777" w:rsidR="005E51D3" w:rsidRDefault="005E51D3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  <w:p w14:paraId="44EAFD9C" w14:textId="77777777" w:rsidR="005E51D3" w:rsidRDefault="005E51D3" w:rsidP="00195A72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F2C30" w14:textId="77777777" w:rsidR="007637D9" w:rsidRDefault="00305F88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05F88">
              <w:rPr>
                <w:rFonts w:cs="Calibri"/>
                <w:sz w:val="20"/>
                <w:szCs w:val="20"/>
              </w:rPr>
              <w:t xml:space="preserve">The Service Delivery Manager role manages a </w:t>
            </w:r>
            <w:proofErr w:type="gramStart"/>
            <w:r w:rsidRPr="00305F88">
              <w:rPr>
                <w:rFonts w:cs="Calibri"/>
                <w:sz w:val="20"/>
                <w:szCs w:val="20"/>
              </w:rPr>
              <w:t>Customer</w:t>
            </w:r>
            <w:proofErr w:type="gramEnd"/>
            <w:r w:rsidRPr="00305F88">
              <w:rPr>
                <w:rFonts w:cs="Calibri"/>
                <w:sz w:val="20"/>
                <w:szCs w:val="20"/>
              </w:rPr>
              <w:t xml:space="preserve"> or portfolio of Customer accounts of annual account revenues between £500k and £4m. The Service Delivery Manager fully understand</w:t>
            </w:r>
            <w:r w:rsidR="00AE6D79">
              <w:rPr>
                <w:rFonts w:cs="Calibri"/>
                <w:sz w:val="20"/>
                <w:szCs w:val="20"/>
              </w:rPr>
              <w:t>s</w:t>
            </w:r>
            <w:r w:rsidRPr="00305F88">
              <w:rPr>
                <w:rFonts w:cs="Calibri"/>
                <w:sz w:val="20"/>
                <w:szCs w:val="20"/>
              </w:rPr>
              <w:t xml:space="preserve"> the contract, commercials and SLA’s/KPI’s within their Customer portfolio and </w:t>
            </w:r>
            <w:r w:rsidR="00AE6D79" w:rsidRPr="00305F88">
              <w:rPr>
                <w:rFonts w:cs="Calibri"/>
                <w:sz w:val="20"/>
                <w:szCs w:val="20"/>
              </w:rPr>
              <w:t>is a key customer advocate, acting as the voice of the customer internally</w:t>
            </w:r>
            <w:r w:rsidR="007637D9">
              <w:rPr>
                <w:rFonts w:cs="Calibri"/>
                <w:sz w:val="20"/>
                <w:szCs w:val="20"/>
              </w:rPr>
              <w:t xml:space="preserve">. </w:t>
            </w:r>
            <w:r w:rsidR="007637D9" w:rsidRPr="00305F88">
              <w:rPr>
                <w:rFonts w:cs="Calibri"/>
                <w:sz w:val="20"/>
                <w:szCs w:val="20"/>
              </w:rPr>
              <w:t>The role requires the ability to develop, grow and nurture positive relationships with the designated Customer organisation, suppliers, and internal delivery functions.</w:t>
            </w:r>
          </w:p>
          <w:p w14:paraId="3DEEC669" w14:textId="77777777" w:rsidR="00305F88" w:rsidRPr="00305F88" w:rsidRDefault="00305F88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4465C3E6" w14:textId="4105330E" w:rsidR="005E51D3" w:rsidRDefault="00305F88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05F88">
              <w:rPr>
                <w:rFonts w:cs="Calibri"/>
                <w:sz w:val="20"/>
                <w:szCs w:val="20"/>
              </w:rPr>
              <w:t>The Service Delivery Manager works closely alongside the aligned Account Manager</w:t>
            </w:r>
            <w:r w:rsidR="00CB7248">
              <w:rPr>
                <w:rFonts w:cs="Calibri"/>
                <w:sz w:val="20"/>
                <w:szCs w:val="20"/>
              </w:rPr>
              <w:t xml:space="preserve"> </w:t>
            </w:r>
            <w:r w:rsidR="00CB7248" w:rsidRPr="00CB7248">
              <w:rPr>
                <w:rFonts w:cs="Calibri"/>
                <w:sz w:val="20"/>
                <w:szCs w:val="20"/>
              </w:rPr>
              <w:t>and/or Customer Success Manager</w:t>
            </w:r>
            <w:r w:rsidRPr="00305F88">
              <w:rPr>
                <w:rFonts w:cs="Calibri"/>
                <w:sz w:val="20"/>
                <w:szCs w:val="20"/>
              </w:rPr>
              <w:t xml:space="preserve"> on account planning and growth across all Customers in their portfolio. </w:t>
            </w:r>
          </w:p>
          <w:p w14:paraId="3656B9AB" w14:textId="77777777" w:rsidR="005E51D3" w:rsidRDefault="005E51D3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E51D3" w14:paraId="45FB0818" w14:textId="77777777" w:rsidTr="133F1F1B">
        <w:trPr>
          <w:trHeight w:val="356"/>
        </w:trPr>
        <w:tc>
          <w:tcPr>
            <w:tcW w:w="2235" w:type="dxa"/>
            <w:tcBorders>
              <w:top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0A09A" w14:textId="77777777" w:rsidR="005E51D3" w:rsidRDefault="005E51D3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  <w:p w14:paraId="5646DA6E" w14:textId="77777777" w:rsidR="002E4851" w:rsidRDefault="002E4851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  <w:p w14:paraId="03D08075" w14:textId="77777777" w:rsidR="002E4851" w:rsidRDefault="002E4851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  <w:p w14:paraId="5E04EAC9" w14:textId="77777777" w:rsidR="002E4851" w:rsidRDefault="002E4851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  <w:p w14:paraId="67706AF7" w14:textId="77777777" w:rsidR="002E4851" w:rsidRDefault="002E4851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  <w:p w14:paraId="32088DE1" w14:textId="77777777" w:rsidR="002E4851" w:rsidRDefault="002E4851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  <w:p w14:paraId="2FD3A7E8" w14:textId="77777777" w:rsidR="002E4851" w:rsidRDefault="002E4851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  <w:p w14:paraId="719C265A" w14:textId="77777777" w:rsidR="002E4851" w:rsidRDefault="002E4851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  <w:p w14:paraId="33661EC6" w14:textId="77777777" w:rsidR="002E4851" w:rsidRDefault="002E4851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  <w:p w14:paraId="6A3E1B48" w14:textId="77777777" w:rsidR="002E4851" w:rsidRDefault="002E4851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  <w:p w14:paraId="5FB5E669" w14:textId="77777777" w:rsidR="002E4851" w:rsidRDefault="002E4851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  <w:p w14:paraId="3DF344FA" w14:textId="77777777" w:rsidR="002E4851" w:rsidRDefault="002E4851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  <w:p w14:paraId="6D595AE0" w14:textId="77777777" w:rsidR="002E4851" w:rsidRDefault="002E4851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  <w:p w14:paraId="5A41F823" w14:textId="77777777" w:rsidR="002E4851" w:rsidRDefault="002E4851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  <w:p w14:paraId="3ABB22AA" w14:textId="77777777" w:rsidR="002E4851" w:rsidRDefault="002E4851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  <w:p w14:paraId="489818B7" w14:textId="77777777" w:rsidR="002E4851" w:rsidRDefault="002E4851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  <w:p w14:paraId="23F984B2" w14:textId="77777777" w:rsidR="002E4851" w:rsidRDefault="002E4851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  <w:p w14:paraId="45DC6E22" w14:textId="77777777" w:rsidR="002E4851" w:rsidRDefault="002E4851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  <w:p w14:paraId="43631642" w14:textId="77777777" w:rsidR="002E4851" w:rsidRDefault="002E4851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  <w:p w14:paraId="049F31CB" w14:textId="77777777" w:rsidR="002E4851" w:rsidRDefault="002E4851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8A34D" w14:textId="77777777" w:rsidR="005E51D3" w:rsidRDefault="005E51D3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3540646E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418F74C7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3ECDA09A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4B99A273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1247D3A0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38E89741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5A4FAF66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72A67C49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736A8F31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702BC937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71390845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61593554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114054EE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611ECE73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209AB9DC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2266BE34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1F53AC3B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59CD8C0E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5D6EB599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6A139ED1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3325B587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665EF3B0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53128261" w14:textId="77777777" w:rsidR="00FD50A5" w:rsidRDefault="00FD50A5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E51D3" w14:paraId="45B691AC" w14:textId="77777777" w:rsidTr="133F1F1B">
        <w:tc>
          <w:tcPr>
            <w:tcW w:w="901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7172" w14:textId="77777777" w:rsidR="005E51D3" w:rsidRDefault="0091261A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lastRenderedPageBreak/>
              <w:t xml:space="preserve">Key Responsibilities </w:t>
            </w:r>
          </w:p>
          <w:p w14:paraId="62486C05" w14:textId="77777777" w:rsidR="005E51D3" w:rsidRDefault="005E51D3" w:rsidP="00195A72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7B3864" w14:paraId="75594AD8" w14:textId="77777777" w:rsidTr="133F1F1B">
        <w:trPr>
          <w:trHeight w:val="4973"/>
        </w:trPr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96AF" w14:textId="4EBAB7DF" w:rsidR="00EE6790" w:rsidRDefault="00EE6790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  <w:r w:rsidRPr="000660B4">
              <w:rPr>
                <w:sz w:val="20"/>
                <w:szCs w:val="20"/>
              </w:rPr>
              <w:t>Act as a customer advocate and a strong voice of the customer internally.</w:t>
            </w:r>
          </w:p>
          <w:p w14:paraId="5ECCE367" w14:textId="77777777" w:rsidR="000660B4" w:rsidRPr="000660B4" w:rsidRDefault="000660B4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</w:p>
          <w:p w14:paraId="7E4D85F0" w14:textId="6D1414AC" w:rsidR="005D586D" w:rsidRDefault="00B87578" w:rsidP="00195A72">
            <w:pPr>
              <w:spacing w:after="0"/>
              <w:ind w:left="360"/>
              <w:jc w:val="both"/>
            </w:pPr>
            <w:r w:rsidRPr="000660B4">
              <w:rPr>
                <w:sz w:val="20"/>
                <w:szCs w:val="20"/>
              </w:rPr>
              <w:t xml:space="preserve">Work with stakeholder functions (Customer and internal) to </w:t>
            </w:r>
            <w:r w:rsidR="00C53E7E" w:rsidRPr="000660B4">
              <w:rPr>
                <w:sz w:val="20"/>
                <w:szCs w:val="20"/>
              </w:rPr>
              <w:t>contribute</w:t>
            </w:r>
            <w:r w:rsidRPr="000660B4">
              <w:rPr>
                <w:sz w:val="20"/>
                <w:szCs w:val="20"/>
              </w:rPr>
              <w:t xml:space="preserve"> </w:t>
            </w:r>
            <w:r w:rsidR="00F96943" w:rsidRPr="000660B4">
              <w:rPr>
                <w:sz w:val="20"/>
                <w:szCs w:val="20"/>
              </w:rPr>
              <w:t>or</w:t>
            </w:r>
            <w:r w:rsidRPr="000660B4">
              <w:rPr>
                <w:sz w:val="20"/>
                <w:szCs w:val="20"/>
              </w:rPr>
              <w:t xml:space="preserve"> take the lead in identifying operational service improvements, seeking value add, increasing revenue opportunities and reducing the cost of support across a customer or portfolio of accounts.</w:t>
            </w:r>
            <w:r w:rsidR="00A4758F" w:rsidRPr="002E4851">
              <w:t xml:space="preserve"> </w:t>
            </w:r>
          </w:p>
          <w:p w14:paraId="7F01462C" w14:textId="77777777" w:rsidR="000660B4" w:rsidRPr="000660B4" w:rsidRDefault="000660B4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</w:p>
          <w:p w14:paraId="74D90EE0" w14:textId="2B211E1E" w:rsidR="006E0882" w:rsidRDefault="00A4758F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  <w:r w:rsidRPr="000660B4">
              <w:rPr>
                <w:sz w:val="20"/>
                <w:szCs w:val="20"/>
              </w:rPr>
              <w:t>Build excellent relationships with both customers and internal SCC stakeholders</w:t>
            </w:r>
            <w:r w:rsidR="00260371" w:rsidRPr="000660B4">
              <w:rPr>
                <w:sz w:val="20"/>
                <w:szCs w:val="20"/>
              </w:rPr>
              <w:t xml:space="preserve"> and be</w:t>
            </w:r>
            <w:r w:rsidRPr="000660B4">
              <w:rPr>
                <w:sz w:val="20"/>
                <w:szCs w:val="20"/>
              </w:rPr>
              <w:t xml:space="preserve"> a collaborative partner with other internal departments to deliver the best possible customer experience.</w:t>
            </w:r>
          </w:p>
          <w:p w14:paraId="724B9243" w14:textId="77777777" w:rsidR="000660B4" w:rsidRPr="000660B4" w:rsidRDefault="000660B4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</w:p>
          <w:p w14:paraId="1A6F8C6F" w14:textId="08A09AA5" w:rsidR="006E0882" w:rsidRDefault="00930626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  <w:r w:rsidRPr="000660B4">
              <w:rPr>
                <w:sz w:val="20"/>
                <w:szCs w:val="20"/>
              </w:rPr>
              <w:t>Contribute to</w:t>
            </w:r>
            <w:r w:rsidR="006E0882" w:rsidRPr="000660B4">
              <w:rPr>
                <w:sz w:val="20"/>
                <w:szCs w:val="20"/>
              </w:rPr>
              <w:t xml:space="preserve"> Account Plans for customers within the portfolio.</w:t>
            </w:r>
          </w:p>
          <w:p w14:paraId="50FCCE32" w14:textId="77777777" w:rsidR="000660B4" w:rsidRPr="000660B4" w:rsidRDefault="000660B4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4101652C" w14:textId="2609D863" w:rsidR="007B3864" w:rsidRDefault="00335CA7" w:rsidP="00195A72">
            <w:pPr>
              <w:ind w:left="360"/>
              <w:jc w:val="both"/>
              <w:rPr>
                <w:sz w:val="20"/>
                <w:szCs w:val="20"/>
              </w:rPr>
            </w:pPr>
            <w:r w:rsidRPr="000660B4">
              <w:rPr>
                <w:sz w:val="20"/>
                <w:szCs w:val="20"/>
              </w:rPr>
              <w:t>Engage</w:t>
            </w:r>
            <w:r w:rsidR="00AB09BA" w:rsidRPr="000660B4">
              <w:rPr>
                <w:sz w:val="20"/>
                <w:szCs w:val="20"/>
              </w:rPr>
              <w:t xml:space="preserve"> with stakeholders</w:t>
            </w:r>
            <w:r w:rsidRPr="000660B4">
              <w:rPr>
                <w:sz w:val="20"/>
                <w:szCs w:val="20"/>
              </w:rPr>
              <w:t xml:space="preserve"> in</w:t>
            </w:r>
            <w:r w:rsidR="00AB09BA" w:rsidRPr="000660B4">
              <w:rPr>
                <w:sz w:val="20"/>
                <w:szCs w:val="20"/>
              </w:rPr>
              <w:t xml:space="preserve"> the </w:t>
            </w:r>
            <w:r w:rsidRPr="000660B4">
              <w:rPr>
                <w:sz w:val="20"/>
                <w:szCs w:val="20"/>
              </w:rPr>
              <w:t>t</w:t>
            </w:r>
            <w:r w:rsidR="00AB09BA" w:rsidRPr="000660B4">
              <w:rPr>
                <w:sz w:val="20"/>
                <w:szCs w:val="20"/>
              </w:rPr>
              <w:t xml:space="preserve">ransition lifecycle stage for the implementation, transformation/addition and retirement of services and assist with the definition and creation of any associated AIS requirements mitigating/managing any identified risks as appropriate. </w:t>
            </w:r>
          </w:p>
          <w:p w14:paraId="18154E1F" w14:textId="07384553" w:rsidR="00005146" w:rsidRPr="000660B4" w:rsidRDefault="00005146" w:rsidP="00005146">
            <w:pPr>
              <w:ind w:left="360"/>
              <w:jc w:val="both"/>
              <w:rPr>
                <w:sz w:val="20"/>
                <w:szCs w:val="20"/>
              </w:rPr>
            </w:pPr>
            <w:r w:rsidRPr="000660B4">
              <w:rPr>
                <w:sz w:val="20"/>
                <w:szCs w:val="20"/>
              </w:rPr>
              <w:t>Be fully conversant with the signed contract and its operational translation and seek to remove any ambiguity.</w:t>
            </w:r>
          </w:p>
          <w:p w14:paraId="537EA639" w14:textId="59DCE1B7" w:rsidR="00D0039C" w:rsidRDefault="00513570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  <w:r w:rsidRPr="000660B4">
              <w:rPr>
                <w:sz w:val="20"/>
                <w:szCs w:val="20"/>
              </w:rPr>
              <w:t xml:space="preserve">Ensure billing information for </w:t>
            </w:r>
            <w:r w:rsidR="004B3DE6" w:rsidRPr="000660B4">
              <w:rPr>
                <w:sz w:val="20"/>
                <w:szCs w:val="20"/>
              </w:rPr>
              <w:t xml:space="preserve">the </w:t>
            </w:r>
            <w:r w:rsidRPr="000660B4">
              <w:rPr>
                <w:sz w:val="20"/>
                <w:szCs w:val="20"/>
              </w:rPr>
              <w:t>services</w:t>
            </w:r>
            <w:r w:rsidR="003F2FAA" w:rsidRPr="000660B4">
              <w:rPr>
                <w:sz w:val="20"/>
                <w:szCs w:val="20"/>
              </w:rPr>
              <w:t xml:space="preserve"> delivered</w:t>
            </w:r>
            <w:r w:rsidRPr="000660B4">
              <w:rPr>
                <w:sz w:val="20"/>
                <w:szCs w:val="20"/>
              </w:rPr>
              <w:t xml:space="preserve"> is accurate and executed, including where there is a variable element. Work with Customer Success and</w:t>
            </w:r>
            <w:r w:rsidR="001436BD">
              <w:rPr>
                <w:sz w:val="20"/>
                <w:szCs w:val="20"/>
              </w:rPr>
              <w:t>/</w:t>
            </w:r>
            <w:r w:rsidR="004B220F" w:rsidRPr="000660B4">
              <w:rPr>
                <w:sz w:val="20"/>
                <w:szCs w:val="20"/>
              </w:rPr>
              <w:t>or</w:t>
            </w:r>
            <w:r w:rsidRPr="000660B4">
              <w:rPr>
                <w:sz w:val="20"/>
                <w:szCs w:val="20"/>
              </w:rPr>
              <w:t xml:space="preserve"> Account Management teams to respond to any queries, or proposed changes (such as re-baselining) as required.</w:t>
            </w:r>
            <w:r w:rsidR="00D0039C" w:rsidRPr="000660B4">
              <w:rPr>
                <w:sz w:val="20"/>
                <w:szCs w:val="20"/>
              </w:rPr>
              <w:t xml:space="preserve"> </w:t>
            </w:r>
          </w:p>
          <w:p w14:paraId="63458BD6" w14:textId="77777777" w:rsidR="000660B4" w:rsidRPr="000660B4" w:rsidRDefault="000660B4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</w:p>
          <w:p w14:paraId="01EDBA06" w14:textId="737CE8E3" w:rsidR="00513570" w:rsidRDefault="00D0039C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  <w:r w:rsidRPr="000660B4">
              <w:rPr>
                <w:sz w:val="20"/>
                <w:szCs w:val="20"/>
              </w:rPr>
              <w:t>Work with SCC operational and primary stakeholder</w:t>
            </w:r>
            <w:r w:rsidR="00005146">
              <w:rPr>
                <w:sz w:val="20"/>
                <w:szCs w:val="20"/>
              </w:rPr>
              <w:t>s</w:t>
            </w:r>
            <w:r w:rsidRPr="000660B4">
              <w:rPr>
                <w:sz w:val="20"/>
                <w:szCs w:val="20"/>
              </w:rPr>
              <w:t xml:space="preserve"> (Customer and internal functions) in context of contractual commitments, manage service credit/penalty scenarios, negotiating where appropriate to reduce risk of financial exposure/losses on P&amp;L</w:t>
            </w:r>
            <w:r w:rsidR="003B384A" w:rsidRPr="000660B4">
              <w:rPr>
                <w:sz w:val="20"/>
                <w:szCs w:val="20"/>
              </w:rPr>
              <w:t xml:space="preserve">. </w:t>
            </w:r>
          </w:p>
          <w:p w14:paraId="247E3D12" w14:textId="77777777" w:rsidR="000660B4" w:rsidRPr="000660B4" w:rsidRDefault="000660B4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</w:p>
          <w:p w14:paraId="5DAA74D2" w14:textId="6F9AE3E4" w:rsidR="00C6365E" w:rsidRDefault="00301CE6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  <w:r w:rsidRPr="000660B4">
              <w:rPr>
                <w:sz w:val="20"/>
                <w:szCs w:val="20"/>
              </w:rPr>
              <w:t>Continually review cost model/delivery approach to drive down the cost of delivery</w:t>
            </w:r>
            <w:r w:rsidR="006E271C" w:rsidRPr="000660B4">
              <w:rPr>
                <w:sz w:val="20"/>
                <w:szCs w:val="20"/>
              </w:rPr>
              <w:t>.</w:t>
            </w:r>
          </w:p>
          <w:p w14:paraId="165D9937" w14:textId="77777777" w:rsidR="000660B4" w:rsidRPr="000660B4" w:rsidRDefault="000660B4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</w:p>
          <w:p w14:paraId="1AE00030" w14:textId="72668B47" w:rsidR="003A737E" w:rsidRPr="000660B4" w:rsidRDefault="003A737E" w:rsidP="00195A72">
            <w:pPr>
              <w:ind w:left="360"/>
              <w:jc w:val="both"/>
              <w:rPr>
                <w:sz w:val="20"/>
                <w:szCs w:val="20"/>
              </w:rPr>
            </w:pPr>
            <w:r w:rsidRPr="000660B4">
              <w:rPr>
                <w:sz w:val="20"/>
                <w:szCs w:val="20"/>
              </w:rPr>
              <w:t>Work with stakeholders (customer and internal functions), using Best Practice Methodologies, Continual Service Improvement (CSI) in context of contractual/commercial commitments and SLAs,</w:t>
            </w:r>
            <w:r w:rsidR="004C1617" w:rsidRPr="000660B4">
              <w:rPr>
                <w:sz w:val="20"/>
                <w:szCs w:val="20"/>
              </w:rPr>
              <w:t xml:space="preserve"> to</w:t>
            </w:r>
            <w:r w:rsidRPr="000660B4">
              <w:rPr>
                <w:sz w:val="20"/>
                <w:szCs w:val="20"/>
              </w:rPr>
              <w:t xml:space="preserve"> manage and improve the customer perception. Measure the improvement by the agreed SCC satisfaction rating/scoring/benchmark process.</w:t>
            </w:r>
          </w:p>
          <w:p w14:paraId="05A24BCC" w14:textId="4F87E6E8" w:rsidR="002E4851" w:rsidRDefault="0004598B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  <w:r w:rsidRPr="000660B4">
              <w:rPr>
                <w:sz w:val="20"/>
                <w:szCs w:val="20"/>
              </w:rPr>
              <w:t>D</w:t>
            </w:r>
            <w:r w:rsidR="003B07B7" w:rsidRPr="000660B4">
              <w:rPr>
                <w:sz w:val="20"/>
                <w:szCs w:val="20"/>
              </w:rPr>
              <w:t xml:space="preserve">evelop and </w:t>
            </w:r>
            <w:r w:rsidR="00CA48A9" w:rsidRPr="000660B4">
              <w:rPr>
                <w:sz w:val="20"/>
                <w:szCs w:val="20"/>
              </w:rPr>
              <w:t>contribute to</w:t>
            </w:r>
            <w:r w:rsidR="003B07B7" w:rsidRPr="000660B4">
              <w:rPr>
                <w:sz w:val="20"/>
                <w:szCs w:val="20"/>
              </w:rPr>
              <w:t xml:space="preserve"> Service Improvement initiatives</w:t>
            </w:r>
            <w:r w:rsidRPr="000660B4">
              <w:rPr>
                <w:sz w:val="20"/>
                <w:szCs w:val="20"/>
              </w:rPr>
              <w:t xml:space="preserve"> and </w:t>
            </w:r>
            <w:r w:rsidR="003B07B7" w:rsidRPr="000660B4">
              <w:rPr>
                <w:sz w:val="20"/>
                <w:szCs w:val="20"/>
              </w:rPr>
              <w:t xml:space="preserve">CSI Plans, with </w:t>
            </w:r>
            <w:r w:rsidRPr="000660B4">
              <w:rPr>
                <w:sz w:val="20"/>
                <w:szCs w:val="20"/>
              </w:rPr>
              <w:t>measurable</w:t>
            </w:r>
            <w:r w:rsidR="003B07B7" w:rsidRPr="000660B4">
              <w:rPr>
                <w:sz w:val="20"/>
                <w:szCs w:val="20"/>
              </w:rPr>
              <w:t xml:space="preserve"> KPIs and drive through agreed </w:t>
            </w:r>
            <w:r w:rsidRPr="000660B4">
              <w:rPr>
                <w:sz w:val="20"/>
                <w:szCs w:val="20"/>
              </w:rPr>
              <w:t>i</w:t>
            </w:r>
            <w:r w:rsidR="003B07B7" w:rsidRPr="000660B4">
              <w:rPr>
                <w:sz w:val="20"/>
                <w:szCs w:val="20"/>
              </w:rPr>
              <w:t>mplementations or corrective alignment to services.</w:t>
            </w:r>
          </w:p>
          <w:p w14:paraId="731D581F" w14:textId="77777777" w:rsidR="00024CFE" w:rsidRPr="000660B4" w:rsidRDefault="00024CFE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</w:p>
          <w:p w14:paraId="6D7E23D7" w14:textId="62FA23D1" w:rsidR="002E4851" w:rsidRPr="000660B4" w:rsidRDefault="002E4851" w:rsidP="00195A72">
            <w:pPr>
              <w:ind w:left="360"/>
              <w:jc w:val="both"/>
              <w:rPr>
                <w:sz w:val="20"/>
                <w:szCs w:val="20"/>
              </w:rPr>
            </w:pPr>
            <w:r w:rsidRPr="000660B4">
              <w:rPr>
                <w:sz w:val="20"/>
                <w:szCs w:val="20"/>
              </w:rPr>
              <w:t>Own</w:t>
            </w:r>
            <w:r w:rsidR="001246A5" w:rsidRPr="000660B4">
              <w:rPr>
                <w:sz w:val="20"/>
                <w:szCs w:val="20"/>
              </w:rPr>
              <w:t>/contribute to</w:t>
            </w:r>
            <w:r w:rsidRPr="000660B4">
              <w:rPr>
                <w:sz w:val="20"/>
                <w:szCs w:val="20"/>
              </w:rPr>
              <w:t xml:space="preserve"> Continuous Service Improvement Plans (CSIPS) and agreed measurements.</w:t>
            </w:r>
          </w:p>
          <w:p w14:paraId="1FD4A424" w14:textId="0C5D96A1" w:rsidR="00985D92" w:rsidRDefault="002E4851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  <w:r w:rsidRPr="000660B4">
              <w:rPr>
                <w:sz w:val="20"/>
                <w:szCs w:val="20"/>
              </w:rPr>
              <w:t>Work with the appropriate stakeholder teams</w:t>
            </w:r>
            <w:r w:rsidR="00562FCD" w:rsidRPr="000660B4">
              <w:rPr>
                <w:sz w:val="20"/>
                <w:szCs w:val="20"/>
              </w:rPr>
              <w:t xml:space="preserve"> to </w:t>
            </w:r>
            <w:r w:rsidRPr="000660B4">
              <w:rPr>
                <w:sz w:val="20"/>
                <w:szCs w:val="20"/>
              </w:rPr>
              <w:t>ensure that the standard SCC SMS reporting tools and service tool sets deliver the appropriate/defined contracted customer service reporting at agreed frequencies.</w:t>
            </w:r>
          </w:p>
          <w:p w14:paraId="4404A499" w14:textId="77777777" w:rsidR="00024CFE" w:rsidRPr="000660B4" w:rsidRDefault="00024CFE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</w:p>
          <w:p w14:paraId="3BA9BFF6" w14:textId="4A6D9AB1" w:rsidR="00985D92" w:rsidRPr="000660B4" w:rsidRDefault="00985D92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  <w:r w:rsidRPr="000660B4">
              <w:rPr>
                <w:sz w:val="20"/>
                <w:szCs w:val="20"/>
              </w:rPr>
              <w:t xml:space="preserve">Ensure operational Service risks are captured on the Service Risk Register and treated accordingly. Ensure Customer Success and Account Management teams are informed where such risks present a material threat to the quality of the service </w:t>
            </w:r>
            <w:r w:rsidR="00EE1CD6" w:rsidRPr="000660B4">
              <w:rPr>
                <w:sz w:val="20"/>
                <w:szCs w:val="20"/>
              </w:rPr>
              <w:t>provided,</w:t>
            </w:r>
            <w:r w:rsidRPr="000660B4">
              <w:rPr>
                <w:sz w:val="20"/>
                <w:szCs w:val="20"/>
              </w:rPr>
              <w:t xml:space="preserve"> along with any proposed mitigations.</w:t>
            </w:r>
          </w:p>
          <w:p w14:paraId="7F4C235D" w14:textId="6E24ABC3" w:rsidR="00B70B13" w:rsidRPr="002E4851" w:rsidRDefault="00B70B13" w:rsidP="00195A72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5E51D3" w14:paraId="5997CC1D" w14:textId="77777777" w:rsidTr="133F1F1B">
        <w:tc>
          <w:tcPr>
            <w:tcW w:w="22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FD37" w14:textId="77777777" w:rsidR="005E51D3" w:rsidRDefault="005E51D3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6B699379" w14:textId="77777777" w:rsidR="00BD1060" w:rsidRDefault="00BD1060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3FE9F23F" w14:textId="77777777" w:rsidR="00BD1060" w:rsidRDefault="00BD1060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1F72F646" w14:textId="77777777" w:rsidR="00BD1060" w:rsidRDefault="00BD1060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08CE6F91" w14:textId="77777777" w:rsidR="00BD1060" w:rsidRDefault="00BD1060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23DE523C" w14:textId="77777777" w:rsidR="00BD1060" w:rsidRDefault="00BD1060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315C15B7" w14:textId="77777777" w:rsidR="000660B4" w:rsidRDefault="000660B4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57CCEA6A" w14:textId="77777777" w:rsidR="000660B4" w:rsidRDefault="000660B4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063DB7D6" w14:textId="77777777" w:rsidR="000660B4" w:rsidRDefault="000660B4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200C6BAC" w14:textId="77777777" w:rsidR="000660B4" w:rsidRDefault="000660B4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5A254CEA" w14:textId="77777777" w:rsidR="000660B4" w:rsidRDefault="000660B4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1E5F715E" w14:textId="77777777" w:rsidR="000660B4" w:rsidRDefault="000660B4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0C96C3DA" w14:textId="77777777" w:rsidR="000660B4" w:rsidRDefault="000660B4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52E56223" w14:textId="77777777" w:rsidR="00BD1060" w:rsidRDefault="00BD1060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07547A01" w14:textId="77777777" w:rsidR="00BD1060" w:rsidRDefault="00BD1060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5043CB0F" w14:textId="77777777" w:rsidR="00105F33" w:rsidRDefault="00105F33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07459315" w14:textId="77777777" w:rsidR="00BD1060" w:rsidRDefault="00BD1060" w:rsidP="00195A72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F28F" w14:textId="77777777" w:rsidR="005E51D3" w:rsidRDefault="005E51D3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6DFB9E20" w14:textId="77777777" w:rsidR="007B3864" w:rsidRDefault="007B3864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70DF9E56" w14:textId="77777777" w:rsidR="007B3864" w:rsidRDefault="007B3864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44E871BC" w14:textId="77777777" w:rsidR="007B3864" w:rsidRDefault="007B3864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144A5D23" w14:textId="77777777" w:rsidR="007B3864" w:rsidRDefault="007B3864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E51D3" w14:paraId="5A272E3A" w14:textId="77777777" w:rsidTr="133F1F1B"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2D0BF" w14:textId="7898EDE0" w:rsidR="005E51D3" w:rsidRDefault="000A0062" w:rsidP="00195A7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C5221">
              <w:rPr>
                <w:rFonts w:cs="Calibri"/>
                <w:color w:val="FFFFFF" w:themeColor="background1"/>
                <w:sz w:val="20"/>
                <w:szCs w:val="20"/>
              </w:rPr>
              <w:t>Person Specification</w:t>
            </w:r>
          </w:p>
        </w:tc>
      </w:tr>
      <w:tr w:rsidR="007B3864" w14:paraId="476D41DF" w14:textId="77777777" w:rsidTr="133F1F1B">
        <w:trPr>
          <w:trHeight w:val="2980"/>
        </w:trPr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4B9E7" w14:textId="2EC223E0" w:rsidR="007B3864" w:rsidRPr="00105F33" w:rsidRDefault="00E5541C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  <w:r w:rsidRPr="00105F33">
              <w:rPr>
                <w:sz w:val="20"/>
                <w:szCs w:val="20"/>
              </w:rPr>
              <w:t>Financial know-how</w:t>
            </w:r>
            <w:r w:rsidR="000768EF">
              <w:rPr>
                <w:sz w:val="20"/>
                <w:szCs w:val="20"/>
              </w:rPr>
              <w:t xml:space="preserve"> in ma</w:t>
            </w:r>
            <w:r w:rsidRPr="00105F33">
              <w:rPr>
                <w:sz w:val="20"/>
                <w:szCs w:val="20"/>
              </w:rPr>
              <w:t>nag</w:t>
            </w:r>
            <w:r w:rsidR="000768EF">
              <w:rPr>
                <w:sz w:val="20"/>
                <w:szCs w:val="20"/>
              </w:rPr>
              <w:t>ing</w:t>
            </w:r>
            <w:r w:rsidRPr="00105F33">
              <w:rPr>
                <w:sz w:val="20"/>
                <w:szCs w:val="20"/>
              </w:rPr>
              <w:t xml:space="preserve"> and track</w:t>
            </w:r>
            <w:r w:rsidR="000768EF">
              <w:rPr>
                <w:sz w:val="20"/>
                <w:szCs w:val="20"/>
              </w:rPr>
              <w:t>ing</w:t>
            </w:r>
            <w:r w:rsidRPr="00105F33">
              <w:rPr>
                <w:sz w:val="20"/>
                <w:szCs w:val="20"/>
              </w:rPr>
              <w:t xml:space="preserve"> financial profitability of </w:t>
            </w:r>
            <w:r w:rsidR="00D43210">
              <w:rPr>
                <w:sz w:val="20"/>
                <w:szCs w:val="20"/>
              </w:rPr>
              <w:t>customer</w:t>
            </w:r>
            <w:r w:rsidR="000768EF">
              <w:rPr>
                <w:sz w:val="20"/>
                <w:szCs w:val="20"/>
              </w:rPr>
              <w:t xml:space="preserve"> </w:t>
            </w:r>
            <w:r w:rsidRPr="00105F33">
              <w:rPr>
                <w:sz w:val="20"/>
                <w:szCs w:val="20"/>
              </w:rPr>
              <w:t>account</w:t>
            </w:r>
            <w:r w:rsidR="00D43210">
              <w:rPr>
                <w:sz w:val="20"/>
                <w:szCs w:val="20"/>
              </w:rPr>
              <w:t>s</w:t>
            </w:r>
            <w:r w:rsidRPr="00105F33">
              <w:rPr>
                <w:sz w:val="20"/>
                <w:szCs w:val="20"/>
              </w:rPr>
              <w:t>, identify opportunities for cost optimisation.</w:t>
            </w:r>
          </w:p>
          <w:p w14:paraId="738610EB" w14:textId="77777777" w:rsidR="007B3864" w:rsidRPr="00105F33" w:rsidRDefault="007B3864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36DE808D" w14:textId="77777777" w:rsidR="007B3864" w:rsidRPr="00DC63EC" w:rsidRDefault="003B3E51" w:rsidP="00195A72">
            <w:pPr>
              <w:spacing w:after="0"/>
              <w:ind w:left="360"/>
              <w:jc w:val="both"/>
              <w:rPr>
                <w:color w:val="0D0D0D"/>
                <w:sz w:val="20"/>
                <w:szCs w:val="20"/>
              </w:rPr>
            </w:pPr>
            <w:r w:rsidRPr="00105F33">
              <w:rPr>
                <w:sz w:val="20"/>
                <w:szCs w:val="20"/>
              </w:rPr>
              <w:t>Knowledge of Managed Services methodologie</w:t>
            </w:r>
            <w:r w:rsidRPr="00DC63EC">
              <w:rPr>
                <w:color w:val="0D0D0D"/>
                <w:sz w:val="20"/>
                <w:szCs w:val="20"/>
              </w:rPr>
              <w:t>s</w:t>
            </w:r>
            <w:r w:rsidR="00DE62F0" w:rsidRPr="00DC63EC">
              <w:rPr>
                <w:color w:val="0D0D0D"/>
                <w:sz w:val="20"/>
                <w:szCs w:val="20"/>
              </w:rPr>
              <w:t xml:space="preserve"> (KPIs, Processes, Improvements).</w:t>
            </w:r>
          </w:p>
          <w:p w14:paraId="637805D2" w14:textId="77777777" w:rsidR="00025D95" w:rsidRPr="00105F33" w:rsidRDefault="00025D95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</w:p>
          <w:p w14:paraId="50F53945" w14:textId="77777777" w:rsidR="00025D95" w:rsidRPr="00DC63EC" w:rsidRDefault="00025D95" w:rsidP="00195A72">
            <w:pPr>
              <w:spacing w:after="0"/>
              <w:ind w:left="360"/>
              <w:jc w:val="both"/>
              <w:rPr>
                <w:color w:val="000000"/>
                <w:sz w:val="20"/>
                <w:szCs w:val="20"/>
              </w:rPr>
            </w:pPr>
            <w:r w:rsidRPr="00DC63EC">
              <w:rPr>
                <w:color w:val="000000"/>
                <w:sz w:val="20"/>
                <w:szCs w:val="20"/>
              </w:rPr>
              <w:t>Knowledge in managing and controlling the operation of formal contracts for the supply of products and services.</w:t>
            </w:r>
          </w:p>
          <w:p w14:paraId="463F29E8" w14:textId="77777777" w:rsidR="007B3864" w:rsidRPr="00105F33" w:rsidRDefault="007B3864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02466103" w14:textId="77777777" w:rsidR="007B3864" w:rsidRPr="00105F33" w:rsidRDefault="003B3E51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  <w:r w:rsidRPr="00105F33">
              <w:rPr>
                <w:sz w:val="20"/>
                <w:szCs w:val="20"/>
              </w:rPr>
              <w:t xml:space="preserve">Customer facing experience and </w:t>
            </w:r>
            <w:r w:rsidR="009E4EC9" w:rsidRPr="00105F33">
              <w:rPr>
                <w:sz w:val="20"/>
                <w:szCs w:val="20"/>
              </w:rPr>
              <w:t>ability to communicate effectively at the appropriate levels, internally and externally with customers.</w:t>
            </w:r>
          </w:p>
          <w:p w14:paraId="3B7B4B86" w14:textId="77777777" w:rsidR="007B3864" w:rsidRPr="00105F33" w:rsidRDefault="007B3864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564E3CA3" w14:textId="77777777" w:rsidR="003B3E51" w:rsidRPr="00105F33" w:rsidRDefault="003B3E51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  <w:r w:rsidRPr="00105F33">
              <w:rPr>
                <w:sz w:val="20"/>
                <w:szCs w:val="20"/>
              </w:rPr>
              <w:t>Ability to manage multiple tasks in an accurate and timely manner, often against deadlines</w:t>
            </w:r>
            <w:r w:rsidR="00BD1060" w:rsidRPr="00105F33">
              <w:rPr>
                <w:sz w:val="20"/>
                <w:szCs w:val="20"/>
              </w:rPr>
              <w:t>.</w:t>
            </w:r>
          </w:p>
          <w:p w14:paraId="3A0FF5F2" w14:textId="77777777" w:rsidR="007B3864" w:rsidRPr="00105F33" w:rsidRDefault="007B3864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2107E6BD" w14:textId="3F343D90" w:rsidR="003B3E51" w:rsidRPr="00DC63EC" w:rsidRDefault="003B3E51" w:rsidP="00195A72">
            <w:pPr>
              <w:spacing w:after="0"/>
              <w:ind w:left="360"/>
              <w:jc w:val="both"/>
              <w:rPr>
                <w:color w:val="000000"/>
                <w:sz w:val="20"/>
                <w:szCs w:val="20"/>
              </w:rPr>
            </w:pPr>
            <w:r w:rsidRPr="00DC63EC">
              <w:rPr>
                <w:color w:val="000000"/>
                <w:sz w:val="20"/>
                <w:szCs w:val="20"/>
              </w:rPr>
              <w:t>Excellent written and verbal communication skill</w:t>
            </w:r>
            <w:r w:rsidR="00D07464">
              <w:rPr>
                <w:color w:val="000000"/>
                <w:sz w:val="20"/>
                <w:szCs w:val="20"/>
              </w:rPr>
              <w:t>s</w:t>
            </w:r>
            <w:r w:rsidR="00BC5394" w:rsidRPr="00DC63EC">
              <w:rPr>
                <w:color w:val="000000"/>
                <w:sz w:val="20"/>
                <w:szCs w:val="20"/>
              </w:rPr>
              <w:t>.</w:t>
            </w:r>
          </w:p>
          <w:p w14:paraId="5630AD66" w14:textId="77777777" w:rsidR="003B3E51" w:rsidRPr="00105F33" w:rsidRDefault="003B3E51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3F6C4E6E" w14:textId="0C3C06FD" w:rsidR="003B3E51" w:rsidRPr="00105F33" w:rsidRDefault="003B3E51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  <w:r w:rsidRPr="00105F33">
              <w:rPr>
                <w:sz w:val="20"/>
                <w:szCs w:val="20"/>
              </w:rPr>
              <w:t>Ability to translate and communicate business requirements and service requirements/specifications to varying levels of audience</w:t>
            </w:r>
            <w:r w:rsidR="00BD1060" w:rsidRPr="00105F33">
              <w:rPr>
                <w:sz w:val="20"/>
                <w:szCs w:val="20"/>
              </w:rPr>
              <w:t>.</w:t>
            </w:r>
          </w:p>
          <w:p w14:paraId="61829076" w14:textId="77777777" w:rsidR="00025D95" w:rsidRPr="00105F33" w:rsidRDefault="00025D95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</w:p>
          <w:p w14:paraId="59FCFDC1" w14:textId="1E5D3687" w:rsidR="00025D95" w:rsidRPr="00105F33" w:rsidRDefault="00025D95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  <w:r w:rsidRPr="00105F33">
              <w:rPr>
                <w:sz w:val="20"/>
                <w:szCs w:val="20"/>
              </w:rPr>
              <w:t>Data Analysis</w:t>
            </w:r>
            <w:r w:rsidR="0022183C">
              <w:rPr>
                <w:sz w:val="20"/>
                <w:szCs w:val="20"/>
              </w:rPr>
              <w:t xml:space="preserve"> </w:t>
            </w:r>
            <w:r w:rsidRPr="00105F33">
              <w:rPr>
                <w:sz w:val="20"/>
                <w:szCs w:val="20"/>
              </w:rPr>
              <w:t>-</w:t>
            </w:r>
            <w:r w:rsidR="0022183C">
              <w:rPr>
                <w:sz w:val="20"/>
                <w:szCs w:val="20"/>
              </w:rPr>
              <w:t xml:space="preserve"> a</w:t>
            </w:r>
            <w:r w:rsidRPr="00105F33">
              <w:rPr>
                <w:sz w:val="20"/>
                <w:szCs w:val="20"/>
              </w:rPr>
              <w:t>bility to organise, interpret, structure and present data into useful information that provides context for the data.</w:t>
            </w:r>
          </w:p>
          <w:p w14:paraId="2BA226A1" w14:textId="77777777" w:rsidR="00E9486B" w:rsidRPr="00105F33" w:rsidRDefault="00E9486B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5EB21FD9" w14:textId="77777777" w:rsidR="00E9486B" w:rsidRDefault="00E9486B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  <w:r w:rsidRPr="00105F33">
              <w:rPr>
                <w:sz w:val="20"/>
                <w:szCs w:val="20"/>
              </w:rPr>
              <w:t>Relevant knowledge</w:t>
            </w:r>
            <w:r w:rsidR="00A9058C" w:rsidRPr="00105F33">
              <w:rPr>
                <w:sz w:val="20"/>
                <w:szCs w:val="20"/>
              </w:rPr>
              <w:t xml:space="preserve"> in the overall concepts, processes, </w:t>
            </w:r>
            <w:r w:rsidR="0032063C" w:rsidRPr="00105F33">
              <w:rPr>
                <w:sz w:val="20"/>
                <w:szCs w:val="20"/>
              </w:rPr>
              <w:t>policies,</w:t>
            </w:r>
            <w:r w:rsidR="00A9058C" w:rsidRPr="00105F33">
              <w:rPr>
                <w:sz w:val="20"/>
                <w:szCs w:val="20"/>
              </w:rPr>
              <w:t xml:space="preserve"> and methods associated with the Continual Service Improvement phase of the Service Lifecycle.</w:t>
            </w:r>
          </w:p>
          <w:p w14:paraId="5C176037" w14:textId="77777777" w:rsidR="00507AB8" w:rsidRDefault="00507AB8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</w:p>
          <w:p w14:paraId="247F2C2A" w14:textId="2AB4AD00" w:rsidR="00507AB8" w:rsidRPr="00507AB8" w:rsidRDefault="00507AB8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  <w:r w:rsidRPr="00507A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Great</w:t>
            </w:r>
            <w:r w:rsidRPr="00507A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problem-solving skills. </w:t>
            </w:r>
          </w:p>
          <w:p w14:paraId="3DCE1D20" w14:textId="77777777" w:rsidR="00507AB8" w:rsidRPr="00507AB8" w:rsidRDefault="00507AB8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</w:p>
          <w:p w14:paraId="43042A43" w14:textId="4D50AAC9" w:rsidR="00507AB8" w:rsidRPr="00105F33" w:rsidRDefault="00507AB8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  <w:r w:rsidRPr="00507AB8">
              <w:rPr>
                <w:sz w:val="20"/>
                <w:szCs w:val="20"/>
              </w:rPr>
              <w:t xml:space="preserve"> Possess skills in mediation, active listening and negotiating win-win outcomes.</w:t>
            </w:r>
          </w:p>
          <w:p w14:paraId="17AD93B2" w14:textId="77777777" w:rsidR="00E86AE2" w:rsidRPr="00105F33" w:rsidRDefault="00E86AE2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</w:p>
          <w:p w14:paraId="6867E76F" w14:textId="75E4BFD8" w:rsidR="00E86AE2" w:rsidRPr="00105F33" w:rsidRDefault="00E86AE2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  <w:r w:rsidRPr="00105F33">
              <w:rPr>
                <w:sz w:val="20"/>
                <w:szCs w:val="20"/>
              </w:rPr>
              <w:t>Strategic thinking</w:t>
            </w:r>
            <w:r w:rsidR="00BD5EB5">
              <w:rPr>
                <w:sz w:val="20"/>
                <w:szCs w:val="20"/>
              </w:rPr>
              <w:t xml:space="preserve"> </w:t>
            </w:r>
            <w:r w:rsidRPr="00105F33">
              <w:rPr>
                <w:sz w:val="20"/>
                <w:szCs w:val="20"/>
              </w:rPr>
              <w:t>- ability to understand the bigger picture to uncover potential challenges and opportunities for the long term and turning these into a compelling vision for action.</w:t>
            </w:r>
          </w:p>
          <w:p w14:paraId="4CA46997" w14:textId="6F17DDAE" w:rsidR="133F1F1B" w:rsidRDefault="133F1F1B" w:rsidP="00195A7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19219836" w14:textId="020AAD77" w:rsidR="003B3E51" w:rsidRPr="00105F33" w:rsidRDefault="0CDEA89F" w:rsidP="00195A72">
            <w:pPr>
              <w:spacing w:after="0"/>
              <w:ind w:left="360"/>
              <w:jc w:val="both"/>
              <w:rPr>
                <w:sz w:val="20"/>
                <w:szCs w:val="20"/>
              </w:rPr>
            </w:pPr>
            <w:r w:rsidRPr="133F1F1B">
              <w:rPr>
                <w:sz w:val="20"/>
                <w:szCs w:val="20"/>
              </w:rPr>
              <w:t>Good Word, PowerPoint, and Excel skills, with a demonstrable ability to build well-presented and logical documents and presentations.</w:t>
            </w:r>
          </w:p>
          <w:p w14:paraId="296FEF7D" w14:textId="77777777" w:rsidR="007B3864" w:rsidRPr="00105F33" w:rsidRDefault="007B3864" w:rsidP="00195A72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7194DBDC" w14:textId="77777777" w:rsidR="005E51D3" w:rsidRDefault="005E51D3" w:rsidP="00195A72">
      <w:pPr>
        <w:jc w:val="both"/>
        <w:rPr>
          <w:sz w:val="20"/>
          <w:szCs w:val="20"/>
        </w:rPr>
      </w:pPr>
    </w:p>
    <w:p w14:paraId="769D0D3C" w14:textId="77777777" w:rsidR="005E51D3" w:rsidRDefault="005E51D3" w:rsidP="00195A72">
      <w:pPr>
        <w:jc w:val="both"/>
        <w:rPr>
          <w:sz w:val="20"/>
          <w:szCs w:val="20"/>
        </w:rPr>
      </w:pPr>
    </w:p>
    <w:p w14:paraId="2821A172" w14:textId="77777777" w:rsidR="00BD5EB5" w:rsidRDefault="00BD5EB5" w:rsidP="00195A72">
      <w:pPr>
        <w:jc w:val="both"/>
        <w:rPr>
          <w:sz w:val="20"/>
          <w:szCs w:val="20"/>
        </w:rPr>
      </w:pPr>
    </w:p>
    <w:p w14:paraId="5711A0B2" w14:textId="77777777" w:rsidR="00BD5EB5" w:rsidRDefault="00BD5EB5" w:rsidP="00195A72">
      <w:pPr>
        <w:jc w:val="both"/>
        <w:rPr>
          <w:sz w:val="20"/>
          <w:szCs w:val="20"/>
        </w:rPr>
      </w:pPr>
    </w:p>
    <w:p w14:paraId="185EBD21" w14:textId="77777777" w:rsidR="00BD5EB5" w:rsidRDefault="00BD5EB5" w:rsidP="00195A72">
      <w:pPr>
        <w:jc w:val="both"/>
        <w:rPr>
          <w:sz w:val="20"/>
          <w:szCs w:val="20"/>
        </w:rPr>
      </w:pPr>
    </w:p>
    <w:p w14:paraId="25939300" w14:textId="77777777" w:rsidR="008D6E83" w:rsidRDefault="008D6E83" w:rsidP="00195A72">
      <w:pPr>
        <w:jc w:val="both"/>
        <w:rPr>
          <w:sz w:val="20"/>
          <w:szCs w:val="20"/>
        </w:rPr>
      </w:pPr>
    </w:p>
    <w:p w14:paraId="76626192" w14:textId="77777777" w:rsidR="008D6E83" w:rsidRDefault="008D6E83" w:rsidP="00195A72">
      <w:pPr>
        <w:jc w:val="both"/>
        <w:rPr>
          <w:sz w:val="20"/>
          <w:szCs w:val="20"/>
        </w:rPr>
      </w:pPr>
    </w:p>
    <w:p w14:paraId="2912F8D2" w14:textId="77777777" w:rsidR="00BD5EB5" w:rsidRDefault="00BD5EB5" w:rsidP="00195A72">
      <w:pPr>
        <w:jc w:val="both"/>
        <w:rPr>
          <w:sz w:val="20"/>
          <w:szCs w:val="20"/>
        </w:rPr>
      </w:pPr>
    </w:p>
    <w:p w14:paraId="54CD245A" w14:textId="77777777" w:rsidR="00105F33" w:rsidRDefault="00105F33" w:rsidP="00195A72">
      <w:pPr>
        <w:jc w:val="both"/>
        <w:rPr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240622" w:rsidRPr="008A14FC" w14:paraId="673D4FDF" w14:textId="77777777" w:rsidTr="008250FC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5650" w14:textId="77777777" w:rsidR="00240622" w:rsidRDefault="00240622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lastRenderedPageBreak/>
              <w:t xml:space="preserve">Key </w:t>
            </w:r>
          </w:p>
          <w:p w14:paraId="487BF8BA" w14:textId="77777777" w:rsidR="00240622" w:rsidRDefault="00240622" w:rsidP="00195A72">
            <w:pPr>
              <w:spacing w:after="0"/>
              <w:jc w:val="both"/>
            </w:pPr>
            <w:r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E437" w14:textId="77777777" w:rsidR="00240622" w:rsidRDefault="00240622" w:rsidP="00195A72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E9CFA5A" w14:textId="77777777" w:rsidR="00240622" w:rsidRPr="008A14FC" w:rsidRDefault="00240622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 xml:space="preserve">Level </w:t>
            </w:r>
          </w:p>
        </w:tc>
      </w:tr>
      <w:tr w:rsidR="00203EAF" w14:paraId="188BA1FE" w14:textId="77777777" w:rsidTr="00E47E9E">
        <w:trPr>
          <w:trHeight w:val="257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73E7" w14:textId="221623AD" w:rsidR="00203EAF" w:rsidRDefault="00BC1F09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619E5" w14:textId="740E5110" w:rsidR="00203EAF" w:rsidRDefault="00203EAF" w:rsidP="00195A72">
            <w:pPr>
              <w:tabs>
                <w:tab w:val="left" w:pos="920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Relationship Management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C29C7" w14:textId="0AE79B9A" w:rsidR="004F1627" w:rsidRDefault="00203EAF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47E9E" w14:paraId="68C7ECE0" w14:textId="77777777" w:rsidTr="008250F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4C14" w14:textId="6BCF202F" w:rsidR="00E47E9E" w:rsidRDefault="00BC1F09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27F86" w14:textId="243B78F7" w:rsidR="00E47E9E" w:rsidRDefault="000F7331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Continuity Management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EC81" w14:textId="4A474DE8" w:rsidR="00E47E9E" w:rsidRDefault="000F7331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D59D8" w14:paraId="01412249" w14:textId="77777777" w:rsidTr="008250F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2AEA" w14:textId="59FFA306" w:rsidR="001D59D8" w:rsidRDefault="00BC1F09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310A" w14:textId="6EE15A81" w:rsidR="001D59D8" w:rsidRDefault="001D59D8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Management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14B44" w14:textId="565A0BEF" w:rsidR="001D59D8" w:rsidRDefault="001D59D8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C1389" w14:paraId="271EAF9C" w14:textId="77777777" w:rsidTr="008250F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0C42" w14:textId="7CC25F2A" w:rsidR="003C1389" w:rsidRDefault="00BC1F09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23A2F" w14:textId="2A4374D5" w:rsidR="003C1389" w:rsidRDefault="003C1389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Account Management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F00CE" w14:textId="4B75C300" w:rsidR="003C1389" w:rsidRDefault="003C1389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8552A" w14:paraId="0E6DA21E" w14:textId="77777777" w:rsidTr="008250F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C663" w14:textId="23923B96" w:rsidR="0078552A" w:rsidRDefault="00BC1F09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A19F" w14:textId="76A2279D" w:rsidR="0078552A" w:rsidRDefault="0078552A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Continuous Improvement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452EA" w14:textId="45D6B8D5" w:rsidR="0078552A" w:rsidRDefault="0078552A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F3C2F" w14:paraId="7C11BAF8" w14:textId="77777777" w:rsidTr="008250F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6CBB7" w14:textId="190C3C00" w:rsidR="005F3C2F" w:rsidRDefault="00BC1F09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1FDFA" w14:textId="6A21495D" w:rsidR="005F3C2F" w:rsidRDefault="005F3C2F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Finance, Cost Control and Budgeting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93923" w14:textId="58CA9733" w:rsidR="005F3C2F" w:rsidRDefault="00BC1F09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40622" w14:paraId="561C6846" w14:textId="77777777" w:rsidTr="008250F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FD8C" w14:textId="496E8EE5" w:rsidR="00240622" w:rsidRDefault="00BC1F09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4DB8" w14:textId="5350F24B" w:rsidR="00240622" w:rsidRDefault="00240622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Influencing &amp; negotiating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65EB8" w14:textId="77777777" w:rsidR="00240622" w:rsidRDefault="00240622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40622" w14:paraId="5A704DB7" w14:textId="77777777" w:rsidTr="008250F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91E72" w14:textId="777B55C7" w:rsidR="00240622" w:rsidRDefault="00BC1F09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1703">
              <w:rPr>
                <w:sz w:val="20"/>
                <w:szCs w:val="20"/>
              </w:rPr>
              <w:t>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1CD2A" w14:textId="77777777" w:rsidR="00240622" w:rsidRDefault="00240622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skills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87E41" w14:textId="77777777" w:rsidR="00240622" w:rsidRDefault="00240622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40622" w14:paraId="04399AEA" w14:textId="77777777" w:rsidTr="008250F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57F9" w14:textId="1BB354DB" w:rsidR="00240622" w:rsidRDefault="009A1703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5B3E9" w14:textId="77777777" w:rsidR="00240622" w:rsidRDefault="00240622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Building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3E449" w14:textId="77777777" w:rsidR="00240622" w:rsidRDefault="00240622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40622" w14:paraId="2AAEE8D6" w14:textId="77777777" w:rsidTr="008250F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C70B" w14:textId="72928C2F" w:rsidR="00240622" w:rsidRDefault="009A1703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C823" w14:textId="77777777" w:rsidR="00240622" w:rsidRDefault="00240622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and organising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2CA12" w14:textId="77777777" w:rsidR="00240622" w:rsidRDefault="00240622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40622" w14:paraId="052FB196" w14:textId="77777777" w:rsidTr="008250F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1A7C" w14:textId="30B644B1" w:rsidR="00240622" w:rsidRDefault="009A1703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FB820" w14:textId="77777777" w:rsidR="00240622" w:rsidRDefault="00240622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Analysis and reporting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77C7D" w14:textId="523E4284" w:rsidR="00240622" w:rsidRDefault="009A1703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40622" w14:paraId="730F1A63" w14:textId="77777777" w:rsidTr="008250F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89BB" w14:textId="7CE73E98" w:rsidR="00240622" w:rsidRDefault="009A1703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944B" w14:textId="77777777" w:rsidR="00240622" w:rsidRDefault="00240622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 skills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1AE0D" w14:textId="77777777" w:rsidR="00240622" w:rsidRDefault="00240622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7196D064" w14:textId="77777777" w:rsidR="00105F33" w:rsidRDefault="00105F33" w:rsidP="00195A72">
      <w:pPr>
        <w:jc w:val="both"/>
        <w:rPr>
          <w:sz w:val="20"/>
          <w:szCs w:val="20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1134"/>
      </w:tblGrid>
      <w:tr w:rsidR="0047265C" w14:paraId="0EFDA2C3" w14:textId="77777777" w:rsidTr="133F1F1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9502D" w14:textId="77777777" w:rsidR="0047265C" w:rsidRDefault="0047265C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Value Behaviours </w:t>
            </w:r>
          </w:p>
          <w:p w14:paraId="34FF1C98" w14:textId="77777777" w:rsidR="0047265C" w:rsidRDefault="0047265C" w:rsidP="00195A72">
            <w:pPr>
              <w:spacing w:after="0"/>
              <w:jc w:val="both"/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2C0D" w14:textId="77777777" w:rsidR="0047265C" w:rsidRDefault="0047265C" w:rsidP="00195A72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</w:tcPr>
          <w:p w14:paraId="0CFFFD6B" w14:textId="77777777" w:rsidR="0047265C" w:rsidRPr="008A14FC" w:rsidRDefault="0047265C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47265C" w14:paraId="51C75DC0" w14:textId="77777777" w:rsidTr="133F1F1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CBF0" w14:textId="77777777" w:rsidR="0047265C" w:rsidRDefault="0047265C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33BC" w14:textId="77777777" w:rsidR="0047265C" w:rsidRDefault="0047265C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Responsibility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F999B5" w14:textId="1480BD73" w:rsidR="0047265C" w:rsidRDefault="003F7AED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47265C" w14:paraId="182DF8DC" w14:textId="77777777" w:rsidTr="133F1F1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86996" w14:textId="77777777" w:rsidR="0047265C" w:rsidRDefault="0047265C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05889" w14:textId="77777777" w:rsidR="0047265C" w:rsidRDefault="0047265C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Passion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44751B" w14:textId="70BDD3B9" w:rsidR="0047265C" w:rsidRDefault="003F7AED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47265C" w14:paraId="7AEDFF9A" w14:textId="77777777" w:rsidTr="133F1F1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A9DD" w14:textId="77777777" w:rsidR="0047265C" w:rsidRDefault="0047265C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0ED8D" w14:textId="77777777" w:rsidR="0047265C" w:rsidRDefault="0047265C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First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E884CA" w14:textId="11882846" w:rsidR="0047265C" w:rsidRDefault="003F7AED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47265C" w14:paraId="51739F83" w14:textId="77777777" w:rsidTr="133F1F1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ABB3F" w14:textId="77777777" w:rsidR="0047265C" w:rsidRDefault="0047265C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C462" w14:textId="77777777" w:rsidR="0047265C" w:rsidRDefault="0047265C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Agility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42F596" w14:textId="5384C08C" w:rsidR="0047265C" w:rsidRDefault="003F7AED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47265C" w14:paraId="491BEA03" w14:textId="77777777" w:rsidTr="133F1F1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2689" w14:textId="77777777" w:rsidR="0047265C" w:rsidRDefault="0047265C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D528" w14:textId="77777777" w:rsidR="0047265C" w:rsidRDefault="0047265C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C21B90" w14:textId="4241B133" w:rsidR="0047265C" w:rsidRDefault="003F7AED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</w:tbl>
    <w:p w14:paraId="48A21919" w14:textId="77777777" w:rsidR="00887598" w:rsidRPr="00887598" w:rsidRDefault="00887598" w:rsidP="00195A72">
      <w:pPr>
        <w:spacing w:after="0"/>
        <w:jc w:val="both"/>
        <w:rPr>
          <w:vanish/>
        </w:rPr>
      </w:pPr>
      <w:bookmarkStart w:id="0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14:paraId="341B85A2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FFE5" w14:textId="77777777" w:rsidR="0043394D" w:rsidRDefault="0043394D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40DE" w14:textId="77777777" w:rsidR="0043394D" w:rsidRDefault="0043394D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2C68" w14:textId="77777777" w:rsidR="0043394D" w:rsidRDefault="0043394D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09FFE" w14:textId="77777777" w:rsidR="0043394D" w:rsidRDefault="0043394D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A254" w14:textId="77777777" w:rsidR="0043394D" w:rsidRDefault="0043394D" w:rsidP="00195A72">
            <w:pPr>
              <w:spacing w:after="0"/>
              <w:jc w:val="both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1D05AC14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79D2" w14:textId="77777777" w:rsidR="0043394D" w:rsidRDefault="0043394D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8E82" w14:textId="77777777" w:rsidR="0043394D" w:rsidRDefault="00443DDF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1432" w14:textId="77777777" w:rsidR="0043394D" w:rsidRDefault="0043394D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6DFA" w14:textId="77777777" w:rsidR="0043394D" w:rsidRDefault="0043394D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25173" w14:textId="77777777" w:rsidR="0043394D" w:rsidRDefault="00443DDF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tr w:rsidR="007B3864" w14:paraId="10C645DF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2A8F" w14:textId="77777777" w:rsidR="007B3864" w:rsidRDefault="007B3864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1F5D" w14:textId="77777777" w:rsidR="007B3864" w:rsidRDefault="007B3864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CDFD" w14:textId="77777777" w:rsidR="007B3864" w:rsidRDefault="007B3864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Formatting of cells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5BCA" w14:textId="77777777" w:rsidR="007B3864" w:rsidRDefault="007B3864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2DC0" w14:textId="77777777" w:rsidR="007B3864" w:rsidRDefault="007B3864" w:rsidP="00195A7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</w:tr>
      <w:bookmarkEnd w:id="0"/>
    </w:tbl>
    <w:p w14:paraId="6BD18F9B" w14:textId="77777777" w:rsidR="005E51D3" w:rsidRDefault="005E51D3" w:rsidP="00195A72">
      <w:pPr>
        <w:jc w:val="both"/>
        <w:rPr>
          <w:sz w:val="20"/>
          <w:szCs w:val="20"/>
        </w:rPr>
      </w:pPr>
    </w:p>
    <w:sectPr w:rsidR="005E51D3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601FE" w14:textId="77777777" w:rsidR="00DC63EC" w:rsidRDefault="00DC63EC">
      <w:pPr>
        <w:spacing w:after="0"/>
      </w:pPr>
      <w:r>
        <w:separator/>
      </w:r>
    </w:p>
  </w:endnote>
  <w:endnote w:type="continuationSeparator" w:id="0">
    <w:p w14:paraId="0F3CABC7" w14:textId="77777777" w:rsidR="00DC63EC" w:rsidRDefault="00DC63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8B5D1" w14:textId="77777777" w:rsidR="00DC63EC" w:rsidRDefault="00DC63E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6DEB4AB" w14:textId="77777777" w:rsidR="00DC63EC" w:rsidRDefault="00DC63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A37"/>
    <w:multiLevelType w:val="hybridMultilevel"/>
    <w:tmpl w:val="8A72D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0E67"/>
    <w:multiLevelType w:val="hybridMultilevel"/>
    <w:tmpl w:val="6D664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D07F0"/>
    <w:multiLevelType w:val="hybridMultilevel"/>
    <w:tmpl w:val="63CE4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37E1E"/>
    <w:multiLevelType w:val="hybridMultilevel"/>
    <w:tmpl w:val="41E09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103EC"/>
    <w:multiLevelType w:val="hybridMultilevel"/>
    <w:tmpl w:val="14F8B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32F7E"/>
    <w:multiLevelType w:val="hybridMultilevel"/>
    <w:tmpl w:val="5C4C5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D0D73"/>
    <w:multiLevelType w:val="hybridMultilevel"/>
    <w:tmpl w:val="2EF4D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12FC6"/>
    <w:multiLevelType w:val="hybridMultilevel"/>
    <w:tmpl w:val="0CFCA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36B94"/>
    <w:multiLevelType w:val="hybridMultilevel"/>
    <w:tmpl w:val="CB983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429F4"/>
    <w:multiLevelType w:val="hybridMultilevel"/>
    <w:tmpl w:val="5BCE4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790983">
    <w:abstractNumId w:val="9"/>
  </w:num>
  <w:num w:numId="2" w16cid:durableId="172767169">
    <w:abstractNumId w:val="8"/>
  </w:num>
  <w:num w:numId="3" w16cid:durableId="577176635">
    <w:abstractNumId w:val="7"/>
  </w:num>
  <w:num w:numId="4" w16cid:durableId="163667388">
    <w:abstractNumId w:val="3"/>
  </w:num>
  <w:num w:numId="5" w16cid:durableId="876353668">
    <w:abstractNumId w:val="5"/>
  </w:num>
  <w:num w:numId="6" w16cid:durableId="884754949">
    <w:abstractNumId w:val="4"/>
  </w:num>
  <w:num w:numId="7" w16cid:durableId="1187330752">
    <w:abstractNumId w:val="1"/>
  </w:num>
  <w:num w:numId="8" w16cid:durableId="640311509">
    <w:abstractNumId w:val="0"/>
  </w:num>
  <w:num w:numId="9" w16cid:durableId="943657119">
    <w:abstractNumId w:val="6"/>
  </w:num>
  <w:num w:numId="10" w16cid:durableId="1968968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05146"/>
    <w:rsid w:val="00021E70"/>
    <w:rsid w:val="00024CFE"/>
    <w:rsid w:val="00025D95"/>
    <w:rsid w:val="0004598B"/>
    <w:rsid w:val="000660B4"/>
    <w:rsid w:val="000768EF"/>
    <w:rsid w:val="0009635D"/>
    <w:rsid w:val="000973A6"/>
    <w:rsid w:val="000A0062"/>
    <w:rsid w:val="000F705D"/>
    <w:rsid w:val="000F7331"/>
    <w:rsid w:val="00105F33"/>
    <w:rsid w:val="001246A5"/>
    <w:rsid w:val="00133680"/>
    <w:rsid w:val="001436BD"/>
    <w:rsid w:val="001467AB"/>
    <w:rsid w:val="00153FB7"/>
    <w:rsid w:val="001555D9"/>
    <w:rsid w:val="0018720B"/>
    <w:rsid w:val="00195A72"/>
    <w:rsid w:val="001A12BF"/>
    <w:rsid w:val="001A4936"/>
    <w:rsid w:val="001B4C68"/>
    <w:rsid w:val="001D59D8"/>
    <w:rsid w:val="00203EAF"/>
    <w:rsid w:val="0022183C"/>
    <w:rsid w:val="00240622"/>
    <w:rsid w:val="00250E69"/>
    <w:rsid w:val="00260371"/>
    <w:rsid w:val="0029742B"/>
    <w:rsid w:val="002E4851"/>
    <w:rsid w:val="002F0803"/>
    <w:rsid w:val="00301CE6"/>
    <w:rsid w:val="00305F88"/>
    <w:rsid w:val="0032063C"/>
    <w:rsid w:val="00335CA7"/>
    <w:rsid w:val="003435C2"/>
    <w:rsid w:val="00354524"/>
    <w:rsid w:val="0036559C"/>
    <w:rsid w:val="003A737E"/>
    <w:rsid w:val="003B07B7"/>
    <w:rsid w:val="003B384A"/>
    <w:rsid w:val="003B3E51"/>
    <w:rsid w:val="003B5085"/>
    <w:rsid w:val="003C1389"/>
    <w:rsid w:val="003F2FAA"/>
    <w:rsid w:val="003F7AED"/>
    <w:rsid w:val="00401805"/>
    <w:rsid w:val="00406BAE"/>
    <w:rsid w:val="00411C1D"/>
    <w:rsid w:val="00411FF2"/>
    <w:rsid w:val="00413BD7"/>
    <w:rsid w:val="00423413"/>
    <w:rsid w:val="0043394D"/>
    <w:rsid w:val="00443D30"/>
    <w:rsid w:val="00443DDF"/>
    <w:rsid w:val="0047265C"/>
    <w:rsid w:val="00487D60"/>
    <w:rsid w:val="00495C57"/>
    <w:rsid w:val="004B0828"/>
    <w:rsid w:val="004B220F"/>
    <w:rsid w:val="004B3DE6"/>
    <w:rsid w:val="004C1617"/>
    <w:rsid w:val="004E566B"/>
    <w:rsid w:val="004E7F31"/>
    <w:rsid w:val="004F1627"/>
    <w:rsid w:val="00507AB8"/>
    <w:rsid w:val="00513570"/>
    <w:rsid w:val="00526CD6"/>
    <w:rsid w:val="00562FCD"/>
    <w:rsid w:val="005D586D"/>
    <w:rsid w:val="005E51D3"/>
    <w:rsid w:val="005F3C2F"/>
    <w:rsid w:val="006039D4"/>
    <w:rsid w:val="00630BD4"/>
    <w:rsid w:val="006E0882"/>
    <w:rsid w:val="006E271C"/>
    <w:rsid w:val="006E2A4C"/>
    <w:rsid w:val="007326A5"/>
    <w:rsid w:val="00755C89"/>
    <w:rsid w:val="007637D9"/>
    <w:rsid w:val="00782733"/>
    <w:rsid w:val="0078552A"/>
    <w:rsid w:val="0079534C"/>
    <w:rsid w:val="007B1818"/>
    <w:rsid w:val="007B3864"/>
    <w:rsid w:val="007E7F64"/>
    <w:rsid w:val="008046B1"/>
    <w:rsid w:val="00887598"/>
    <w:rsid w:val="00892FDC"/>
    <w:rsid w:val="00897C25"/>
    <w:rsid w:val="008A14FC"/>
    <w:rsid w:val="008D6E83"/>
    <w:rsid w:val="008E379B"/>
    <w:rsid w:val="0091261A"/>
    <w:rsid w:val="00930626"/>
    <w:rsid w:val="00944FCB"/>
    <w:rsid w:val="00980A3A"/>
    <w:rsid w:val="00985D92"/>
    <w:rsid w:val="009A1703"/>
    <w:rsid w:val="009A67D1"/>
    <w:rsid w:val="009E4EC9"/>
    <w:rsid w:val="009F0780"/>
    <w:rsid w:val="00A419DC"/>
    <w:rsid w:val="00A43551"/>
    <w:rsid w:val="00A4758F"/>
    <w:rsid w:val="00A761EE"/>
    <w:rsid w:val="00A822EF"/>
    <w:rsid w:val="00A87315"/>
    <w:rsid w:val="00A9058C"/>
    <w:rsid w:val="00AA2349"/>
    <w:rsid w:val="00AB09BA"/>
    <w:rsid w:val="00AE6D79"/>
    <w:rsid w:val="00B5093F"/>
    <w:rsid w:val="00B64857"/>
    <w:rsid w:val="00B66C42"/>
    <w:rsid w:val="00B70B13"/>
    <w:rsid w:val="00B72286"/>
    <w:rsid w:val="00B87578"/>
    <w:rsid w:val="00BC1F09"/>
    <w:rsid w:val="00BC5221"/>
    <w:rsid w:val="00BC5394"/>
    <w:rsid w:val="00BD1060"/>
    <w:rsid w:val="00BD5EB5"/>
    <w:rsid w:val="00C53E7E"/>
    <w:rsid w:val="00C6365E"/>
    <w:rsid w:val="00C82719"/>
    <w:rsid w:val="00CA48A9"/>
    <w:rsid w:val="00CB7248"/>
    <w:rsid w:val="00D0039C"/>
    <w:rsid w:val="00D0376B"/>
    <w:rsid w:val="00D07464"/>
    <w:rsid w:val="00D4189F"/>
    <w:rsid w:val="00D43210"/>
    <w:rsid w:val="00DC63EC"/>
    <w:rsid w:val="00DD41CC"/>
    <w:rsid w:val="00DE62F0"/>
    <w:rsid w:val="00E4578A"/>
    <w:rsid w:val="00E47E9E"/>
    <w:rsid w:val="00E5541C"/>
    <w:rsid w:val="00E86AE2"/>
    <w:rsid w:val="00E9486B"/>
    <w:rsid w:val="00EA06A7"/>
    <w:rsid w:val="00EE13EA"/>
    <w:rsid w:val="00EE1CD6"/>
    <w:rsid w:val="00EE6790"/>
    <w:rsid w:val="00F25CF9"/>
    <w:rsid w:val="00F96943"/>
    <w:rsid w:val="00FA0770"/>
    <w:rsid w:val="00FD50A5"/>
    <w:rsid w:val="0CDEA89F"/>
    <w:rsid w:val="133F1F1B"/>
    <w:rsid w:val="1C0A27EC"/>
    <w:rsid w:val="38F627BE"/>
    <w:rsid w:val="3EDC2922"/>
    <w:rsid w:val="4147CEAB"/>
    <w:rsid w:val="4AAD46F8"/>
    <w:rsid w:val="596DD57B"/>
    <w:rsid w:val="5AF47CC9"/>
    <w:rsid w:val="75BD8334"/>
    <w:rsid w:val="79F43575"/>
    <w:rsid w:val="7C6394FB"/>
    <w:rsid w:val="7FEB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1B569"/>
  <w15:docId w15:val="{37EBAC2F-7C1A-4565-B4E1-1E3527E7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2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3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EF546E7231041BD0C70D66B74D74D" ma:contentTypeVersion="16" ma:contentTypeDescription="Create a new document." ma:contentTypeScope="" ma:versionID="bcab39b5eb75d15f1c6315f3da8cba78">
  <xsd:schema xmlns:xsd="http://www.w3.org/2001/XMLSchema" xmlns:xs="http://www.w3.org/2001/XMLSchema" xmlns:p="http://schemas.microsoft.com/office/2006/metadata/properties" xmlns:ns2="97ef8257-bac9-4558-bb2d-31f9c902969c" xmlns:ns3="8b9b5fed-5eb2-4097-ada0-e036e699a8d5" targetNamespace="http://schemas.microsoft.com/office/2006/metadata/properties" ma:root="true" ma:fieldsID="05c260492d134521256f33d80256ac0b" ns2:_="" ns3:_="">
    <xsd:import namespace="97ef8257-bac9-4558-bb2d-31f9c902969c"/>
    <xsd:import namespace="8b9b5fed-5eb2-4097-ada0-e036e699a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f8257-bac9-4558-bb2d-31f9c9029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ce42418-c1a3-4e6f-95ce-1aa3f0691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5fed-5eb2-4097-ada0-e036e699a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e319860-e91d-4a45-b644-883f8b737f42}" ma:internalName="TaxCatchAll" ma:showField="CatchAllData" ma:web="8b9b5fed-5eb2-4097-ada0-e036e699a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66688-0B49-45C6-9A14-3B7DC703F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f8257-bac9-4558-bb2d-31f9c902969c"/>
    <ds:schemaRef ds:uri="8b9b5fed-5eb2-4097-ada0-e036e699a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36813-96D4-4A2C-B816-569B74122F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Andreea Strugariu</cp:lastModifiedBy>
  <cp:revision>13</cp:revision>
  <cp:lastPrinted>2022-06-21T19:29:00Z</cp:lastPrinted>
  <dcterms:created xsi:type="dcterms:W3CDTF">2024-05-28T13:43:00Z</dcterms:created>
  <dcterms:modified xsi:type="dcterms:W3CDTF">2024-05-31T07:42:00Z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-1800746769</vt:i4>
  </property>
  <property fmtid="{D5CDD505-2E9C-101B-9397-08002B2CF9AE}" pid="3" name="_NewReviewCycle">
    <vt:lpwstr/>
  </property>
  <property fmtid="{D5CDD505-2E9C-101B-9397-08002B2CF9AE}" pid="4" name="_EmailSubject">
    <vt:lpwstr>JDs- Service Delivery**Revised </vt:lpwstr>
  </property>
  <property fmtid="{D5CDD505-2E9C-101B-9397-08002B2CF9AE}" pid="5" name="_AuthorEmail">
    <vt:lpwstr>Andreea.Strugariu@scc.com</vt:lpwstr>
  </property>
  <property fmtid="{D5CDD505-2E9C-101B-9397-08002B2CF9AE}" pid="6" name="_AuthorEmailDisplayName">
    <vt:lpwstr>Andreea Strugariu</vt:lpwstr>
  </property>
  <property fmtid="{D5CDD505-2E9C-101B-9397-08002B2CF9AE}" pid="7" name="_PreviousAdHocReviewCycleID">
    <vt:i4>-736012668</vt:i4>
  </property>
</Properties>
</file>