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FC3F" w14:textId="77777777" w:rsidR="005E51D3" w:rsidRDefault="004632C8">
      <w:pPr>
        <w:jc w:val="right"/>
      </w:pPr>
      <w:r>
        <w:rPr>
          <w:noProof/>
        </w:rPr>
        <w:pict w14:anchorId="3AC6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 black and white logo&#10;&#10;Description automatically generated with low confidence" style="position:absolute;left:0;text-align:left;margin-left:349.2pt;margin-top:-50.7pt;width:134.2pt;height:50.7pt;z-index:251658240;visibility:visible">
            <v:imagedata r:id="rId9" o:title="A black and white logo&#10;&#10;Description automatically generated with low confidence"/>
          </v:shape>
        </w:pic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6781"/>
      </w:tblGrid>
      <w:tr w:rsidR="005E51D3" w14:paraId="14AF8154" w14:textId="77777777" w:rsidTr="65DA0BE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410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</w:t>
            </w:r>
            <w:r w:rsidR="0091261A">
              <w:rPr>
                <w:color w:val="FFFFFF"/>
                <w:sz w:val="20"/>
                <w:szCs w:val="20"/>
              </w:rPr>
              <w:t xml:space="preserve"> Title 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1773" w14:textId="1A222204" w:rsidR="00DD41CC" w:rsidRDefault="00DF0888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Application Architect</w:t>
            </w:r>
          </w:p>
        </w:tc>
      </w:tr>
      <w:tr w:rsidR="005E51D3" w14:paraId="14F3876B" w14:textId="77777777" w:rsidTr="65DA0BE3">
        <w:trPr>
          <w:trHeight w:val="42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323B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F0DC8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749BBE7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6CFB" w14:textId="607E98C1" w:rsidR="005E51D3" w:rsidRDefault="00EB4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Digital</w:t>
            </w:r>
          </w:p>
        </w:tc>
      </w:tr>
      <w:tr w:rsidR="005E51D3" w14:paraId="794014B4" w14:textId="77777777" w:rsidTr="65DA0BE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CA1E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Team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E38" w14:textId="60DAF843" w:rsidR="005E51D3" w:rsidRDefault="00DF0888" w:rsidP="000E0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AI Delivery</w:t>
            </w:r>
          </w:p>
        </w:tc>
      </w:tr>
      <w:tr w:rsidR="005E51D3" w14:paraId="518B4D10" w14:textId="77777777" w:rsidTr="65DA0BE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3FD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5608FE16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  <w:p w14:paraId="320869C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F8C" w14:textId="0BF4B05A" w:rsidR="005E51D3" w:rsidRDefault="000E0E16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</w:t>
            </w:r>
            <w:r w:rsidR="00DF0888">
              <w:rPr>
                <w:sz w:val="20"/>
                <w:szCs w:val="20"/>
              </w:rPr>
              <w:t>Application and AI delivery</w:t>
            </w:r>
          </w:p>
        </w:tc>
      </w:tr>
      <w:tr w:rsidR="005E51D3" w14:paraId="2CBB5BE1" w14:textId="77777777" w:rsidTr="65DA0BE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4949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Family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26BA" w14:textId="77777777" w:rsidR="005E51D3" w:rsidRDefault="005E51D3" w:rsidP="00EB409B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780510A" w14:textId="77777777" w:rsidTr="65DA0BE3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83F5" w14:textId="77777777" w:rsidR="005E51D3" w:rsidRDefault="003D5730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Job Level</w:t>
            </w: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2D8" w14:textId="35141B83" w:rsidR="002F0803" w:rsidRDefault="002F0803" w:rsidP="002F080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037DF40" w14:textId="77777777" w:rsidTr="65DA0BE3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949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179D77C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083BB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9E6FCE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CD60" w14:textId="4D5E9212" w:rsidR="003A7D72" w:rsidRPr="006B12DC" w:rsidRDefault="003A7D72" w:rsidP="003A7D7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The AI Application Architect is responsible for the end-to-end architecture, design and evolution of AI-enabled applications and solution patterns, ensuring alignment to business goals and delivery outcomes. This role focuses on applied AI</w:t>
            </w:r>
            <w:r>
              <w:rPr>
                <w:sz w:val="20"/>
                <w:szCs w:val="20"/>
              </w:rPr>
              <w:t xml:space="preserve">, </w:t>
            </w:r>
            <w:r w:rsidRPr="006B12DC">
              <w:rPr>
                <w:sz w:val="20"/>
                <w:szCs w:val="20"/>
              </w:rPr>
              <w:t>translating business problems into practical, secure and scalable AI solutions using platforms such as Azure AI Foundry, AWS Bedrock and Google Vertex AI, and embedding those capabilities into well-architected application solutions. You will set architectural direction, define reference architectures and reusable accelerators, and guide engineering teams through design and delivery—ensuring solutions meet functional and non-functional requirements including reliability, security, scalability, performance and governance standards.</w:t>
            </w:r>
          </w:p>
          <w:p w14:paraId="7BE52135" w14:textId="09509D7F" w:rsidR="005E51D3" w:rsidRPr="00966AA9" w:rsidRDefault="005E51D3" w:rsidP="00966AA9">
            <w:pPr>
              <w:rPr>
                <w:sz w:val="20"/>
                <w:szCs w:val="20"/>
              </w:rPr>
            </w:pPr>
          </w:p>
        </w:tc>
      </w:tr>
      <w:tr w:rsidR="005E51D3" w14:paraId="3F33190C" w14:textId="77777777" w:rsidTr="65DA0BE3">
        <w:trPr>
          <w:trHeight w:val="356"/>
        </w:trPr>
        <w:tc>
          <w:tcPr>
            <w:tcW w:w="2235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182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881A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63658180" w14:textId="77777777" w:rsidTr="65DA0BE3">
        <w:tc>
          <w:tcPr>
            <w:tcW w:w="90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5C4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1D33B2F7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732EE6" w14:paraId="568FD608" w14:textId="77777777" w:rsidTr="65DA0BE3">
        <w:trPr>
          <w:trHeight w:val="416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B105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1. Lead the architectural design of AI-enabled software applications, ensuring alignment with business/customer goals and delivery milestones.</w:t>
            </w:r>
          </w:p>
          <w:p w14:paraId="1C79D400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2. Translate stakeholder needs into clear technical requirements and target architectures for AI-enabled application solutions.</w:t>
            </w:r>
          </w:p>
          <w:p w14:paraId="08C6CCE9" w14:textId="034B9D8D" w:rsidR="00676D52" w:rsidRPr="006B12DC" w:rsidRDefault="00676D52" w:rsidP="00676D52">
            <w:pPr>
              <w:rPr>
                <w:sz w:val="20"/>
                <w:szCs w:val="20"/>
              </w:rPr>
            </w:pPr>
            <w:r w:rsidRPr="65DA0BE3">
              <w:rPr>
                <w:sz w:val="20"/>
                <w:szCs w:val="20"/>
              </w:rPr>
              <w:t>3. Design end-to-end AI solution architectures using Azure AI Foundry</w:t>
            </w:r>
            <w:r w:rsidR="4F6DFB9B" w:rsidRPr="65DA0BE3">
              <w:rPr>
                <w:sz w:val="20"/>
                <w:szCs w:val="20"/>
              </w:rPr>
              <w:t xml:space="preserve"> and</w:t>
            </w:r>
            <w:r w:rsidRPr="65DA0BE3">
              <w:rPr>
                <w:sz w:val="20"/>
                <w:szCs w:val="20"/>
              </w:rPr>
              <w:t xml:space="preserve"> AWS Bedrock </w:t>
            </w:r>
            <w:r w:rsidR="3CF6230F" w:rsidRPr="65DA0BE3">
              <w:rPr>
                <w:sz w:val="20"/>
                <w:szCs w:val="20"/>
              </w:rPr>
              <w:t xml:space="preserve">to </w:t>
            </w:r>
            <w:r w:rsidRPr="65DA0BE3">
              <w:rPr>
                <w:sz w:val="20"/>
                <w:szCs w:val="20"/>
              </w:rPr>
              <w:t>address specific business challenges.</w:t>
            </w:r>
          </w:p>
          <w:p w14:paraId="4DAFB001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4. Define and maintain AI reference architectures and design patterns for common use cases such as document intelligence, conversational AI, knowledge mining and process automation.</w:t>
            </w:r>
          </w:p>
          <w:p w14:paraId="67FFFA64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5. Provide technical direction to development teams, ensuring implementation aligns with architectural standards, best practices and agreed solution patterns.</w:t>
            </w:r>
          </w:p>
          <w:p w14:paraId="6235BAF9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6. Oversee the development of AI application solutions across proof-of-concept through to production deployment and ongoing operations.</w:t>
            </w:r>
          </w:p>
          <w:p w14:paraId="4252CAD5" w14:textId="5994B274" w:rsidR="00676D52" w:rsidRPr="006B12DC" w:rsidRDefault="00676D52" w:rsidP="65DA0BE3">
            <w:pPr>
              <w:spacing w:line="259" w:lineRule="auto"/>
              <w:rPr>
                <w:sz w:val="20"/>
                <w:szCs w:val="20"/>
              </w:rPr>
            </w:pPr>
            <w:r w:rsidRPr="65DA0BE3">
              <w:rPr>
                <w:sz w:val="20"/>
                <w:szCs w:val="20"/>
              </w:rPr>
              <w:t xml:space="preserve">7. </w:t>
            </w:r>
            <w:r w:rsidR="4765FA40" w:rsidRPr="65DA0BE3">
              <w:rPr>
                <w:sz w:val="20"/>
                <w:szCs w:val="20"/>
              </w:rPr>
              <w:t xml:space="preserve">Use </w:t>
            </w:r>
            <w:r w:rsidRPr="65DA0BE3">
              <w:rPr>
                <w:sz w:val="20"/>
                <w:szCs w:val="20"/>
              </w:rPr>
              <w:t>reusable accelerators, templates and tooling to streamline delivery of AI-enabled application solutions across initiatives.</w:t>
            </w:r>
          </w:p>
          <w:p w14:paraId="7D3C2830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8. Define and implement AI solution lifecycle management (monitoring, evaluation, retraining and continuous improvement) within the broader application lifecycle.</w:t>
            </w:r>
          </w:p>
          <w:p w14:paraId="07DEBF57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9. Ensure solutions meet performance, reliability and governance requirements; embed security and responsible AI considerations into architecture and design decisions.</w:t>
            </w:r>
          </w:p>
          <w:p w14:paraId="075F1080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10. Develop and maintain architectural documentation (reference architectures, design decisions, patterns, runbooks) to support delivery and operational handover.</w:t>
            </w:r>
          </w:p>
          <w:p w14:paraId="6508B233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11. Mentor and guide team members on AI solution design, architecture best practices, and effective delivery approaches.</w:t>
            </w:r>
          </w:p>
          <w:p w14:paraId="19A9351B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12. Collaborate with Cloud and Data Product Architects to ensure integrated solution design across the wider portfolio.</w:t>
            </w:r>
          </w:p>
          <w:p w14:paraId="0B6719D7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13. Stay current with emerging AI services, tools and frameworks, evaluating applicability to architectural standards and delivery patterns.</w:t>
            </w:r>
          </w:p>
          <w:p w14:paraId="0D56F618" w14:textId="77777777" w:rsidR="00676D52" w:rsidRPr="006B12DC" w:rsidRDefault="00676D52" w:rsidP="00676D52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14. Contribute to the evolution of delivery methodologies, standards and practices to improve consistency, reuse and time-to-value for AI-enabled application delivery.</w:t>
            </w:r>
          </w:p>
          <w:p w14:paraId="77035990" w14:textId="0803B276" w:rsidR="00463A3F" w:rsidRPr="00D62378" w:rsidRDefault="00463A3F" w:rsidP="0003367D">
            <w:pPr>
              <w:rPr>
                <w:sz w:val="20"/>
                <w:szCs w:val="20"/>
              </w:rPr>
            </w:pPr>
          </w:p>
        </w:tc>
      </w:tr>
      <w:tr w:rsidR="005E51D3" w14:paraId="31FCE05A" w14:textId="77777777" w:rsidTr="65DA0BE3">
        <w:tc>
          <w:tcPr>
            <w:tcW w:w="22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53" w14:textId="77777777" w:rsidR="00732EE6" w:rsidRDefault="00732E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1BE8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A34ADD0" w14:textId="77777777" w:rsidR="00EB409B" w:rsidRDefault="00EB409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68330E2" w14:textId="77777777" w:rsidTr="65DA0BE3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3B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6A90F7E6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32EE6" w14:paraId="631DE377" w14:textId="77777777" w:rsidTr="65DA0BE3">
        <w:trPr>
          <w:trHeight w:val="2980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66AE" w14:textId="77777777" w:rsidR="00A318BC" w:rsidRPr="006B12DC" w:rsidRDefault="00A318BC" w:rsidP="00A318BC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1. Demonstrable experience in application architecture, including designing scalable and maintainable software solutions.</w:t>
            </w:r>
          </w:p>
          <w:p w14:paraId="454BE9AB" w14:textId="5F16F1D9" w:rsidR="00A318BC" w:rsidRPr="006B12DC" w:rsidRDefault="00A318BC" w:rsidP="00A318BC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 xml:space="preserve">2. Demonstrable background designing and delivering AI/ML solutions using </w:t>
            </w:r>
            <w:r w:rsidR="005331F6">
              <w:rPr>
                <w:sz w:val="20"/>
                <w:szCs w:val="20"/>
              </w:rPr>
              <w:t xml:space="preserve">with strong experience using </w:t>
            </w:r>
            <w:r w:rsidRPr="006B12DC">
              <w:rPr>
                <w:sz w:val="20"/>
                <w:szCs w:val="20"/>
              </w:rPr>
              <w:t>cloud platforms.</w:t>
            </w:r>
          </w:p>
          <w:p w14:paraId="76B84C72" w14:textId="0BB98712" w:rsidR="00A318BC" w:rsidRPr="006B12DC" w:rsidRDefault="005331F6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18BC" w:rsidRPr="006B12DC">
              <w:rPr>
                <w:sz w:val="20"/>
                <w:szCs w:val="20"/>
              </w:rPr>
              <w:t>. Experience integrating AI into applications and creating AI-enabled applications.</w:t>
            </w:r>
          </w:p>
          <w:p w14:paraId="17599BD1" w14:textId="1EA0FDD1" w:rsidR="00A318BC" w:rsidRPr="006B12DC" w:rsidRDefault="005331F6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318BC" w:rsidRPr="006B12DC">
              <w:rPr>
                <w:sz w:val="20"/>
                <w:szCs w:val="20"/>
              </w:rPr>
              <w:t>. Strong understanding of software development methodologies and cloud technologies.</w:t>
            </w:r>
          </w:p>
          <w:p w14:paraId="63BB51B4" w14:textId="3123C7C2" w:rsidR="00A318BC" w:rsidRPr="006B12DC" w:rsidRDefault="005331F6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318BC" w:rsidRPr="006B12DC">
              <w:rPr>
                <w:sz w:val="20"/>
                <w:szCs w:val="20"/>
              </w:rPr>
              <w:t>. Understanding of responsible AI principles, prompt engineering, model evaluation, and Infrastructure as Code (Terraform, Bicep) for AI workload deployments.</w:t>
            </w:r>
          </w:p>
          <w:p w14:paraId="6B2BF8AE" w14:textId="5E36808D" w:rsidR="00A318BC" w:rsidRPr="006B12DC" w:rsidRDefault="00AD382E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318BC" w:rsidRPr="006B12DC">
              <w:rPr>
                <w:sz w:val="20"/>
                <w:szCs w:val="20"/>
              </w:rPr>
              <w:t>. Excellent problem-solving and analytical skills, with the ability to develop purpose-driven solutions.</w:t>
            </w:r>
          </w:p>
          <w:p w14:paraId="10F01251" w14:textId="381079AF" w:rsidR="00A318BC" w:rsidRPr="006B12DC" w:rsidRDefault="00AD382E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318BC" w:rsidRPr="006B12DC">
              <w:rPr>
                <w:sz w:val="20"/>
                <w:szCs w:val="20"/>
              </w:rPr>
              <w:t>. Strong communication and collaboration skills, including ability to explain complex technical/AI concepts to non-technical stakeholders.</w:t>
            </w:r>
          </w:p>
          <w:p w14:paraId="64FB5E80" w14:textId="1A03EA2F" w:rsidR="00A318BC" w:rsidRPr="006B12DC" w:rsidRDefault="00AD382E" w:rsidP="00A31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318BC" w:rsidRPr="006B12DC">
              <w:rPr>
                <w:sz w:val="20"/>
                <w:szCs w:val="20"/>
              </w:rPr>
              <w:t>. Ability to manage multiple priorities, meet deadlines and provide leadership/mentoring across teams.</w:t>
            </w:r>
          </w:p>
          <w:p w14:paraId="1A6553BB" w14:textId="60C776D1" w:rsidR="00A318BC" w:rsidRPr="006B12DC" w:rsidRDefault="00A318BC" w:rsidP="00A318BC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>11. Preferred certifications</w:t>
            </w:r>
            <w:r w:rsidR="00AD382E">
              <w:rPr>
                <w:sz w:val="20"/>
                <w:szCs w:val="20"/>
              </w:rPr>
              <w:t xml:space="preserve"> </w:t>
            </w:r>
            <w:r w:rsidR="00E018FC">
              <w:rPr>
                <w:sz w:val="20"/>
                <w:szCs w:val="20"/>
              </w:rPr>
              <w:t xml:space="preserve">for Azure or AWS in </w:t>
            </w:r>
            <w:r w:rsidR="00AD382E">
              <w:rPr>
                <w:sz w:val="20"/>
                <w:szCs w:val="20"/>
              </w:rPr>
              <w:t>AI</w:t>
            </w:r>
            <w:r w:rsidR="00E018FC">
              <w:rPr>
                <w:sz w:val="20"/>
                <w:szCs w:val="20"/>
              </w:rPr>
              <w:t xml:space="preserve"> and Architecture.</w:t>
            </w:r>
          </w:p>
          <w:p w14:paraId="3C49F0BF" w14:textId="026A5A57" w:rsidR="00A318BC" w:rsidRPr="006B12DC" w:rsidRDefault="00A318BC" w:rsidP="00A318BC">
            <w:pPr>
              <w:rPr>
                <w:sz w:val="20"/>
                <w:szCs w:val="20"/>
              </w:rPr>
            </w:pPr>
            <w:r w:rsidRPr="006B12DC">
              <w:rPr>
                <w:sz w:val="20"/>
                <w:szCs w:val="20"/>
              </w:rPr>
              <w:t xml:space="preserve">12. </w:t>
            </w:r>
            <w:r>
              <w:rPr>
                <w:sz w:val="20"/>
                <w:szCs w:val="20"/>
              </w:rPr>
              <w:t xml:space="preserve">Ability to </w:t>
            </w:r>
            <w:r w:rsidR="00D050C5">
              <w:rPr>
                <w:sz w:val="20"/>
                <w:szCs w:val="20"/>
              </w:rPr>
              <w:t xml:space="preserve">attain UK Security Clearance </w:t>
            </w:r>
            <w:r w:rsidRPr="006B12DC">
              <w:rPr>
                <w:sz w:val="20"/>
                <w:szCs w:val="20"/>
              </w:rPr>
              <w:t>(as per relevant contracts).</w:t>
            </w:r>
          </w:p>
          <w:p w14:paraId="543A7EC3" w14:textId="00835E5A" w:rsidR="00732EE6" w:rsidRPr="0003367D" w:rsidRDefault="00732EE6" w:rsidP="00EB409B">
            <w:pPr>
              <w:rPr>
                <w:sz w:val="20"/>
                <w:szCs w:val="20"/>
              </w:rPr>
            </w:pPr>
          </w:p>
        </w:tc>
      </w:tr>
    </w:tbl>
    <w:p w14:paraId="0CAC4A43" w14:textId="77777777" w:rsidR="00887598" w:rsidRPr="00887598" w:rsidRDefault="00887598" w:rsidP="00887598">
      <w:pPr>
        <w:spacing w:after="0"/>
        <w:rPr>
          <w:vanish/>
        </w:rPr>
      </w:pPr>
      <w:bookmarkStart w:id="0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F11EA9C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B3B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8433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5BE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8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77C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60695DF3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CB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7619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65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C2F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B63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32EE6" w14:paraId="0B806CC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1F8C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29C2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C088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FF11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0AF7" w14:textId="77777777" w:rsidR="00732EE6" w:rsidRDefault="00732EE6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tr w:rsidR="00E637A3" w14:paraId="2487B6B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562C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ADF4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68F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Re-formatted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094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DA7" w14:textId="77777777" w:rsidR="00E637A3" w:rsidRDefault="00E637A3" w:rsidP="0043394D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19DFD3A4" w14:textId="77777777" w:rsidR="005E51D3" w:rsidRDefault="005E51D3">
      <w:pPr>
        <w:rPr>
          <w:sz w:val="20"/>
          <w:szCs w:val="20"/>
        </w:rPr>
      </w:pPr>
    </w:p>
    <w:p w14:paraId="37F9B53B" w14:textId="77777777" w:rsidR="00463A3F" w:rsidRDefault="00463A3F">
      <w:pPr>
        <w:rPr>
          <w:sz w:val="20"/>
          <w:szCs w:val="20"/>
        </w:rPr>
      </w:pPr>
    </w:p>
    <w:sectPr w:rsidR="00463A3F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C2B4" w14:textId="77777777" w:rsidR="00E4796B" w:rsidRDefault="00E4796B">
      <w:pPr>
        <w:spacing w:after="0"/>
      </w:pPr>
      <w:r>
        <w:separator/>
      </w:r>
    </w:p>
  </w:endnote>
  <w:endnote w:type="continuationSeparator" w:id="0">
    <w:p w14:paraId="0F27B28D" w14:textId="77777777" w:rsidR="00E4796B" w:rsidRDefault="00E479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3064" w14:textId="77777777" w:rsidR="00E4796B" w:rsidRDefault="00E4796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443D284" w14:textId="77777777" w:rsidR="00E4796B" w:rsidRDefault="00E479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24884"/>
    <w:rsid w:val="0003367D"/>
    <w:rsid w:val="00085178"/>
    <w:rsid w:val="0009635D"/>
    <w:rsid w:val="000973A6"/>
    <w:rsid w:val="000E0E16"/>
    <w:rsid w:val="000E5FC9"/>
    <w:rsid w:val="000F705D"/>
    <w:rsid w:val="00123323"/>
    <w:rsid w:val="001E0691"/>
    <w:rsid w:val="002467E0"/>
    <w:rsid w:val="00250825"/>
    <w:rsid w:val="00264FA5"/>
    <w:rsid w:val="002F0803"/>
    <w:rsid w:val="00386C5D"/>
    <w:rsid w:val="00397356"/>
    <w:rsid w:val="003A613C"/>
    <w:rsid w:val="003A7D72"/>
    <w:rsid w:val="003D5730"/>
    <w:rsid w:val="0043394D"/>
    <w:rsid w:val="00443DDF"/>
    <w:rsid w:val="004465F6"/>
    <w:rsid w:val="004632C8"/>
    <w:rsid w:val="00463A3F"/>
    <w:rsid w:val="0047265C"/>
    <w:rsid w:val="004A5E1D"/>
    <w:rsid w:val="004D2801"/>
    <w:rsid w:val="004D4D88"/>
    <w:rsid w:val="005331F6"/>
    <w:rsid w:val="00544E75"/>
    <w:rsid w:val="005C7F21"/>
    <w:rsid w:val="005E51D3"/>
    <w:rsid w:val="00610461"/>
    <w:rsid w:val="00630BD4"/>
    <w:rsid w:val="006507E0"/>
    <w:rsid w:val="00663F70"/>
    <w:rsid w:val="00676D52"/>
    <w:rsid w:val="006835F5"/>
    <w:rsid w:val="00732EE6"/>
    <w:rsid w:val="007600F5"/>
    <w:rsid w:val="00761CC1"/>
    <w:rsid w:val="00774B7A"/>
    <w:rsid w:val="007F1897"/>
    <w:rsid w:val="00887598"/>
    <w:rsid w:val="008A14FC"/>
    <w:rsid w:val="008C5B70"/>
    <w:rsid w:val="008E1341"/>
    <w:rsid w:val="008E5385"/>
    <w:rsid w:val="0091261A"/>
    <w:rsid w:val="0095201F"/>
    <w:rsid w:val="00966AA9"/>
    <w:rsid w:val="00A22B8B"/>
    <w:rsid w:val="00A256BA"/>
    <w:rsid w:val="00A318BC"/>
    <w:rsid w:val="00A451EA"/>
    <w:rsid w:val="00A61AB8"/>
    <w:rsid w:val="00A761EE"/>
    <w:rsid w:val="00AD382E"/>
    <w:rsid w:val="00B514D5"/>
    <w:rsid w:val="00B80886"/>
    <w:rsid w:val="00B858C3"/>
    <w:rsid w:val="00BA5504"/>
    <w:rsid w:val="00BB7C52"/>
    <w:rsid w:val="00C11BBA"/>
    <w:rsid w:val="00C63680"/>
    <w:rsid w:val="00D050C5"/>
    <w:rsid w:val="00D52D13"/>
    <w:rsid w:val="00D62378"/>
    <w:rsid w:val="00DB1609"/>
    <w:rsid w:val="00DB7E20"/>
    <w:rsid w:val="00DD41CC"/>
    <w:rsid w:val="00DF0888"/>
    <w:rsid w:val="00E018FC"/>
    <w:rsid w:val="00E4796B"/>
    <w:rsid w:val="00E637A3"/>
    <w:rsid w:val="00E6714A"/>
    <w:rsid w:val="00EB409B"/>
    <w:rsid w:val="00EE13EA"/>
    <w:rsid w:val="00F1744F"/>
    <w:rsid w:val="00F400C5"/>
    <w:rsid w:val="00F510D9"/>
    <w:rsid w:val="00FF1E28"/>
    <w:rsid w:val="3CF6230F"/>
    <w:rsid w:val="3F054C2D"/>
    <w:rsid w:val="4765FA40"/>
    <w:rsid w:val="4F6DFB9B"/>
    <w:rsid w:val="65D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347A12"/>
  <w15:docId w15:val="{6F6C9F90-770F-442C-A468-64BBC302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420003CDF7B45912CBDF29EE215D4" ma:contentTypeVersion="14" ma:contentTypeDescription="Create a new document." ma:contentTypeScope="" ma:versionID="887afa369214dc6a912d3e6989cfaf94">
  <xsd:schema xmlns:xsd="http://www.w3.org/2001/XMLSchema" xmlns:xs="http://www.w3.org/2001/XMLSchema" xmlns:p="http://schemas.microsoft.com/office/2006/metadata/properties" xmlns:ns2="077ebb02-d999-43ae-a3d1-ab6c6a72d46d" xmlns:ns3="2f3539c4-87d5-4794-a126-6ffa48dedec3" targetNamespace="http://schemas.microsoft.com/office/2006/metadata/properties" ma:root="true" ma:fieldsID="bbdadb488be2489e5018dea799326965" ns2:_="" ns3:_="">
    <xsd:import namespace="077ebb02-d999-43ae-a3d1-ab6c6a72d46d"/>
    <xsd:import namespace="2f3539c4-87d5-4794-a126-6ffa48de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b02-d999-43ae-a3d1-ab6c6a7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39c4-87d5-4794-a126-6ffa48de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ebb02-d999-43ae-a3d1-ab6c6a72d4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6F4202-52B4-4083-8588-B84D8FA2A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ebb02-d999-43ae-a3d1-ab6c6a72d46d"/>
    <ds:schemaRef ds:uri="2f3539c4-87d5-4794-a126-6ffa48de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30887-15FE-4BED-A202-702BAE4DD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2B5CD-6DAF-47E2-9336-68DA050D89FA}">
  <ds:schemaRefs>
    <ds:schemaRef ds:uri="http://schemas.microsoft.com/office/2006/metadata/properties"/>
    <ds:schemaRef ds:uri="http://schemas.microsoft.com/office/infopath/2007/PartnerControls"/>
    <ds:schemaRef ds:uri="077ebb02-d999-43ae-a3d1-ab6c6a72d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3690</Characters>
  <Application>Microsoft Office Word</Application>
  <DocSecurity>4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Toby Watkins</cp:lastModifiedBy>
  <cp:revision>12</cp:revision>
  <cp:lastPrinted>2022-06-21T11:29:00Z</cp:lastPrinted>
  <dcterms:created xsi:type="dcterms:W3CDTF">2026-03-06T19:37:00Z</dcterms:created>
  <dcterms:modified xsi:type="dcterms:W3CDTF">2026-03-09T17:04:00Z</dcterms:modified>
</cp:coreProperties>
</file>