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Table3-Accent11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3D4AC9" w14:paraId="26234019" w14:textId="77777777" w:rsidTr="00295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bottom w:val="single" w:sz="4" w:space="0" w:color="00B0F0"/>
            </w:tcBorders>
            <w:shd w:val="clear" w:color="auto" w:fill="00B0F0"/>
          </w:tcPr>
          <w:p w14:paraId="170AC29E" w14:textId="3DD27674" w:rsidR="003D4AC9" w:rsidRPr="007662F5" w:rsidRDefault="00255B29" w:rsidP="00CF291C">
            <w:pPr>
              <w:jc w:val="both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T</w:t>
            </w:r>
            <w:r w:rsidR="003D4AC9" w:rsidRPr="007662F5">
              <w:rPr>
                <w:bCs w:val="0"/>
                <w:sz w:val="32"/>
                <w:szCs w:val="32"/>
              </w:rPr>
              <w:t>itle</w:t>
            </w:r>
          </w:p>
        </w:tc>
        <w:tc>
          <w:tcPr>
            <w:tcW w:w="5670" w:type="dxa"/>
            <w:tcBorders>
              <w:bottom w:val="single" w:sz="4" w:space="0" w:color="00B0F0"/>
            </w:tcBorders>
            <w:shd w:val="clear" w:color="auto" w:fill="00B0F0"/>
          </w:tcPr>
          <w:p w14:paraId="12D8E704" w14:textId="47AE2518" w:rsidR="003D4AC9" w:rsidRPr="007662F5" w:rsidRDefault="00BA266F" w:rsidP="00CF29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Hyperscale</w:t>
            </w:r>
            <w:r w:rsidR="0023272C">
              <w:rPr>
                <w:bCs w:val="0"/>
                <w:sz w:val="32"/>
                <w:szCs w:val="32"/>
              </w:rPr>
              <w:t xml:space="preserve"> – </w:t>
            </w:r>
            <w:r w:rsidR="001A12BA">
              <w:rPr>
                <w:bCs w:val="0"/>
                <w:sz w:val="32"/>
                <w:szCs w:val="32"/>
              </w:rPr>
              <w:t>Data</w:t>
            </w:r>
            <w:r w:rsidR="0023272C">
              <w:rPr>
                <w:bCs w:val="0"/>
                <w:sz w:val="32"/>
                <w:szCs w:val="32"/>
              </w:rPr>
              <w:t xml:space="preserve"> Architect</w:t>
            </w:r>
          </w:p>
        </w:tc>
      </w:tr>
      <w:tr w:rsidR="003D4AC9" w14:paraId="4137695A" w14:textId="77777777" w:rsidTr="00295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00B0F0"/>
              <w:left w:val="single" w:sz="4" w:space="0" w:color="00B0F0"/>
              <w:bottom w:val="nil"/>
            </w:tcBorders>
          </w:tcPr>
          <w:p w14:paraId="315EC90A" w14:textId="77777777" w:rsidR="003D4AC9" w:rsidRPr="003D4AC9" w:rsidRDefault="003D4AC9" w:rsidP="003D4AC9">
            <w:pPr>
              <w:jc w:val="both"/>
              <w:rPr>
                <w:b w:val="0"/>
                <w:bCs w:val="0"/>
              </w:rPr>
            </w:pPr>
            <w:r w:rsidRPr="003D4AC9">
              <w:rPr>
                <w:b w:val="0"/>
                <w:bCs w:val="0"/>
              </w:rPr>
              <w:t>Position reports to:</w:t>
            </w:r>
          </w:p>
        </w:tc>
        <w:tc>
          <w:tcPr>
            <w:tcW w:w="5670" w:type="dxa"/>
            <w:tcBorders>
              <w:top w:val="single" w:sz="4" w:space="0" w:color="00B0F0"/>
              <w:bottom w:val="nil"/>
              <w:right w:val="single" w:sz="4" w:space="0" w:color="00B0F0"/>
            </w:tcBorders>
          </w:tcPr>
          <w:p w14:paraId="1C5342D3" w14:textId="2F061DAB" w:rsidR="003D4AC9" w:rsidRPr="003D4AC9" w:rsidRDefault="0023272C" w:rsidP="004651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TBC</w:t>
            </w:r>
          </w:p>
        </w:tc>
      </w:tr>
      <w:tr w:rsidR="003D4AC9" w14:paraId="2130AF53" w14:textId="77777777" w:rsidTr="00295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il"/>
              <w:left w:val="single" w:sz="4" w:space="0" w:color="00B0F0"/>
              <w:bottom w:val="nil"/>
            </w:tcBorders>
          </w:tcPr>
          <w:p w14:paraId="05D16D3A" w14:textId="3901A551" w:rsidR="003D4AC9" w:rsidRPr="003D4AC9" w:rsidRDefault="00E02162" w:rsidP="003D4AC9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Team:</w:t>
            </w:r>
          </w:p>
        </w:tc>
        <w:tc>
          <w:tcPr>
            <w:tcW w:w="5670" w:type="dxa"/>
            <w:tcBorders>
              <w:top w:val="nil"/>
              <w:bottom w:val="nil"/>
              <w:right w:val="single" w:sz="4" w:space="0" w:color="00B0F0"/>
            </w:tcBorders>
          </w:tcPr>
          <w:p w14:paraId="4E580124" w14:textId="5BA251AA" w:rsidR="003D4AC9" w:rsidRPr="003D4AC9" w:rsidRDefault="0023272C" w:rsidP="00CF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Pre Sales/Delivery</w:t>
            </w:r>
          </w:p>
        </w:tc>
      </w:tr>
      <w:tr w:rsidR="00E02162" w14:paraId="52D603B5" w14:textId="77777777" w:rsidTr="00295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il"/>
              <w:left w:val="single" w:sz="4" w:space="0" w:color="00B0F0"/>
              <w:bottom w:val="nil"/>
            </w:tcBorders>
          </w:tcPr>
          <w:p w14:paraId="63C2D68C" w14:textId="77777777" w:rsidR="00E02162" w:rsidRPr="00255B29" w:rsidDel="00E02162" w:rsidRDefault="00E02162" w:rsidP="003D4AC9">
            <w:pPr>
              <w:jc w:val="both"/>
              <w:rPr>
                <w:b w:val="0"/>
              </w:rPr>
            </w:pPr>
            <w:r w:rsidRPr="00255B29">
              <w:rPr>
                <w:b w:val="0"/>
              </w:rPr>
              <w:t>Department:</w:t>
            </w:r>
          </w:p>
        </w:tc>
        <w:tc>
          <w:tcPr>
            <w:tcW w:w="5670" w:type="dxa"/>
            <w:tcBorders>
              <w:top w:val="nil"/>
              <w:bottom w:val="nil"/>
              <w:right w:val="single" w:sz="4" w:space="0" w:color="00B0F0"/>
            </w:tcBorders>
          </w:tcPr>
          <w:p w14:paraId="44AD9911" w14:textId="4E0AC50E" w:rsidR="00E02162" w:rsidRDefault="0023272C" w:rsidP="00CF29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SCC Hyperscale</w:t>
            </w:r>
          </w:p>
        </w:tc>
      </w:tr>
      <w:tr w:rsidR="003D4AC9" w14:paraId="33569A46" w14:textId="77777777" w:rsidTr="00295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il"/>
              <w:left w:val="single" w:sz="4" w:space="0" w:color="00B0F0"/>
              <w:bottom w:val="single" w:sz="4" w:space="0" w:color="00B0F0"/>
            </w:tcBorders>
          </w:tcPr>
          <w:p w14:paraId="77590B1F" w14:textId="77777777" w:rsidR="003D4AC9" w:rsidRPr="003D4AC9" w:rsidRDefault="003D4AC9" w:rsidP="003D4AC9">
            <w:pPr>
              <w:jc w:val="both"/>
              <w:rPr>
                <w:b w:val="0"/>
                <w:bCs w:val="0"/>
              </w:rPr>
            </w:pPr>
            <w:r w:rsidRPr="003D4AC9">
              <w:rPr>
                <w:b w:val="0"/>
                <w:bCs w:val="0"/>
              </w:rPr>
              <w:t>Employment status:</w:t>
            </w:r>
          </w:p>
        </w:tc>
        <w:tc>
          <w:tcPr>
            <w:tcW w:w="5670" w:type="dxa"/>
            <w:tcBorders>
              <w:top w:val="nil"/>
              <w:bottom w:val="single" w:sz="4" w:space="0" w:color="00B0F0"/>
              <w:right w:val="single" w:sz="4" w:space="0" w:color="00B0F0"/>
            </w:tcBorders>
          </w:tcPr>
          <w:p w14:paraId="2E0C9255" w14:textId="77777777" w:rsidR="003D4AC9" w:rsidRPr="003D4AC9" w:rsidRDefault="003D4AC9" w:rsidP="00CF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D4AC9">
              <w:rPr>
                <w:bCs/>
              </w:rPr>
              <w:t>Full-Time</w:t>
            </w:r>
          </w:p>
        </w:tc>
      </w:tr>
    </w:tbl>
    <w:p w14:paraId="1C694FA4" w14:textId="77777777" w:rsidR="003D4AC9" w:rsidRDefault="003D4AC9" w:rsidP="00CF291C">
      <w:pPr>
        <w:jc w:val="both"/>
        <w:rPr>
          <w:b/>
          <w:bCs/>
        </w:rPr>
      </w:pPr>
    </w:p>
    <w:tbl>
      <w:tblPr>
        <w:tblStyle w:val="ListTable3-Accent11"/>
        <w:tblW w:w="9067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067"/>
      </w:tblGrid>
      <w:tr w:rsidR="003D4AC9" w14:paraId="00732DC3" w14:textId="77777777" w:rsidTr="00101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  <w:tcBorders>
              <w:bottom w:val="single" w:sz="4" w:space="0" w:color="00B0F0"/>
              <w:right w:val="none" w:sz="0" w:space="0" w:color="auto"/>
            </w:tcBorders>
            <w:shd w:val="clear" w:color="auto" w:fill="00B0F0"/>
          </w:tcPr>
          <w:p w14:paraId="0F2102C0" w14:textId="4D70FE4F" w:rsidR="003D4AC9" w:rsidRPr="007662F5" w:rsidRDefault="007F6C49" w:rsidP="003D4AC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Role </w:t>
            </w:r>
            <w:r w:rsidR="00255B29">
              <w:rPr>
                <w:sz w:val="32"/>
                <w:szCs w:val="32"/>
              </w:rPr>
              <w:t>D</w:t>
            </w:r>
            <w:r w:rsidR="003D4AC9" w:rsidRPr="007662F5">
              <w:rPr>
                <w:sz w:val="32"/>
                <w:szCs w:val="32"/>
              </w:rPr>
              <w:t>escription</w:t>
            </w:r>
          </w:p>
        </w:tc>
      </w:tr>
      <w:tr w:rsidR="003D4AC9" w14:paraId="2FF92ECD" w14:textId="77777777" w:rsidTr="00101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DAF332E" w14:textId="269C682A" w:rsidR="003D4AC9" w:rsidRPr="003D4AC9" w:rsidRDefault="003D4AC9" w:rsidP="002767B0">
            <w:pPr>
              <w:jc w:val="both"/>
              <w:rPr>
                <w:b w:val="0"/>
              </w:rPr>
            </w:pPr>
            <w:r w:rsidRPr="003D4AC9">
              <w:rPr>
                <w:b w:val="0"/>
              </w:rPr>
              <w:t xml:space="preserve">Specialist Computer Centres </w:t>
            </w:r>
            <w:r w:rsidR="00AC2979">
              <w:rPr>
                <w:b w:val="0"/>
              </w:rPr>
              <w:t>are</w:t>
            </w:r>
            <w:r w:rsidRPr="003D4AC9">
              <w:rPr>
                <w:b w:val="0"/>
              </w:rPr>
              <w:t xml:space="preserve"> Europe’s leading provider of IT services and solutions. Demand for our </w:t>
            </w:r>
            <w:r w:rsidR="00364FF2">
              <w:rPr>
                <w:b w:val="0"/>
              </w:rPr>
              <w:t>Hybrid Infrastructure</w:t>
            </w:r>
            <w:r w:rsidRPr="003D4AC9">
              <w:rPr>
                <w:b w:val="0"/>
              </w:rPr>
              <w:t xml:space="preserve"> services </w:t>
            </w:r>
            <w:proofErr w:type="gramStart"/>
            <w:r w:rsidRPr="003D4AC9">
              <w:rPr>
                <w:b w:val="0"/>
              </w:rPr>
              <w:t>continues</w:t>
            </w:r>
            <w:proofErr w:type="gramEnd"/>
            <w:r w:rsidRPr="003D4AC9">
              <w:rPr>
                <w:b w:val="0"/>
              </w:rPr>
              <w:t xml:space="preserve"> to grow both from existing and new customers creating a real career opportunity for a talented individual to join </w:t>
            </w:r>
            <w:r w:rsidR="003434A6">
              <w:rPr>
                <w:b w:val="0"/>
              </w:rPr>
              <w:t>our team.</w:t>
            </w:r>
          </w:p>
          <w:p w14:paraId="254B6566" w14:textId="77777777" w:rsidR="003D4AC9" w:rsidRDefault="003D4AC9" w:rsidP="002767B0">
            <w:pPr>
              <w:jc w:val="both"/>
              <w:rPr>
                <w:b w:val="0"/>
              </w:rPr>
            </w:pPr>
          </w:p>
          <w:p w14:paraId="21D8F0B6" w14:textId="6E2493E6" w:rsidR="00F00F92" w:rsidRDefault="00EA2878" w:rsidP="002767B0">
            <w:pPr>
              <w:jc w:val="both"/>
              <w:rPr>
                <w:bCs w:val="0"/>
              </w:rPr>
            </w:pPr>
            <w:r>
              <w:rPr>
                <w:b w:val="0"/>
              </w:rPr>
              <w:t>W</w:t>
            </w:r>
            <w:r w:rsidR="00590DAF">
              <w:rPr>
                <w:b w:val="0"/>
              </w:rPr>
              <w:t xml:space="preserve">orking with customers </w:t>
            </w:r>
            <w:r w:rsidR="0005459F">
              <w:rPr>
                <w:b w:val="0"/>
              </w:rPr>
              <w:t xml:space="preserve">to understand their business data challenges and develop data solutions to meet these requirements. </w:t>
            </w:r>
            <w:r w:rsidR="000A238E">
              <w:rPr>
                <w:b w:val="0"/>
              </w:rPr>
              <w:t xml:space="preserve">Working alongside </w:t>
            </w:r>
            <w:r w:rsidR="00151571">
              <w:rPr>
                <w:b w:val="0"/>
              </w:rPr>
              <w:t xml:space="preserve">the broader Hyperscale solution architects </w:t>
            </w:r>
            <w:r w:rsidR="00ED7435">
              <w:rPr>
                <w:b w:val="0"/>
              </w:rPr>
              <w:t>to ensure</w:t>
            </w:r>
            <w:r w:rsidR="00AD3E87">
              <w:rPr>
                <w:b w:val="0"/>
              </w:rPr>
              <w:t xml:space="preserve"> close integration with our public cloud standards.</w:t>
            </w:r>
          </w:p>
          <w:p w14:paraId="7917B8FE" w14:textId="1E20D5BF" w:rsidR="00A81AE2" w:rsidRDefault="00A81AE2" w:rsidP="002767B0">
            <w:pPr>
              <w:jc w:val="both"/>
              <w:rPr>
                <w:b w:val="0"/>
                <w:bCs w:val="0"/>
              </w:rPr>
            </w:pPr>
          </w:p>
          <w:p w14:paraId="6CB4C265" w14:textId="204C52A7" w:rsidR="00A81AE2" w:rsidRDefault="000A6630" w:rsidP="002767B0">
            <w:pPr>
              <w:jc w:val="both"/>
            </w:pPr>
            <w:r>
              <w:rPr>
                <w:b w:val="0"/>
                <w:bCs w:val="0"/>
              </w:rPr>
              <w:t xml:space="preserve">As a data specialist this person </w:t>
            </w:r>
            <w:r w:rsidR="009778DE">
              <w:rPr>
                <w:b w:val="0"/>
                <w:bCs w:val="0"/>
              </w:rPr>
              <w:t>will have experience in the following areas:</w:t>
            </w:r>
          </w:p>
          <w:p w14:paraId="15F7213C" w14:textId="44C2C281" w:rsidR="00EF36A2" w:rsidRDefault="00EF36A2" w:rsidP="002767B0">
            <w:pPr>
              <w:jc w:val="both"/>
            </w:pPr>
          </w:p>
          <w:p w14:paraId="2E7EC437" w14:textId="689620D3" w:rsidR="00EF36A2" w:rsidRPr="00EA2878" w:rsidRDefault="009778DE" w:rsidP="00AB039C">
            <w:pPr>
              <w:pStyle w:val="ListParagraph"/>
              <w:numPr>
                <w:ilvl w:val="0"/>
                <w:numId w:val="11"/>
              </w:numPr>
              <w:jc w:val="both"/>
              <w:rPr>
                <w:b w:val="0"/>
                <w:bCs w:val="0"/>
              </w:rPr>
            </w:pPr>
            <w:r w:rsidRPr="00473407">
              <w:rPr>
                <w:b w:val="0"/>
                <w:bCs w:val="0"/>
              </w:rPr>
              <w:t xml:space="preserve">Designing </w:t>
            </w:r>
            <w:r w:rsidR="00991941" w:rsidRPr="00473407">
              <w:rPr>
                <w:b w:val="0"/>
                <w:bCs w:val="0"/>
              </w:rPr>
              <w:t>data platforms across BI, MI or analytics solutions</w:t>
            </w:r>
          </w:p>
          <w:p w14:paraId="2D901E66" w14:textId="257603EA" w:rsidR="00EA2878" w:rsidRPr="00473407" w:rsidRDefault="00EA2878" w:rsidP="00AB039C">
            <w:pPr>
              <w:pStyle w:val="ListParagraph"/>
              <w:numPr>
                <w:ilvl w:val="0"/>
                <w:numId w:val="11"/>
              </w:num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Azure Synapse</w:t>
            </w:r>
            <w:r w:rsidR="00914C31">
              <w:rPr>
                <w:b w:val="0"/>
                <w:bCs w:val="0"/>
              </w:rPr>
              <w:t xml:space="preserve">, </w:t>
            </w:r>
            <w:r>
              <w:rPr>
                <w:b w:val="0"/>
                <w:bCs w:val="0"/>
              </w:rPr>
              <w:t>Azure Fabric</w:t>
            </w:r>
            <w:r w:rsidR="0008118D">
              <w:rPr>
                <w:b w:val="0"/>
                <w:bCs w:val="0"/>
              </w:rPr>
              <w:t xml:space="preserve"> and Microsoft </w:t>
            </w:r>
            <w:r w:rsidR="00914C31">
              <w:rPr>
                <w:b w:val="0"/>
                <w:bCs w:val="0"/>
              </w:rPr>
              <w:t xml:space="preserve">data </w:t>
            </w:r>
            <w:r w:rsidR="0008118D">
              <w:rPr>
                <w:b w:val="0"/>
                <w:bCs w:val="0"/>
              </w:rPr>
              <w:t>stack</w:t>
            </w:r>
          </w:p>
          <w:p w14:paraId="62763749" w14:textId="60A81F49" w:rsidR="00AB039C" w:rsidRPr="002A1FF7" w:rsidRDefault="00502A73" w:rsidP="00AB039C">
            <w:pPr>
              <w:pStyle w:val="ListParagraph"/>
              <w:numPr>
                <w:ilvl w:val="0"/>
                <w:numId w:val="11"/>
              </w:numPr>
              <w:jc w:val="both"/>
              <w:rPr>
                <w:b w:val="0"/>
                <w:bCs w:val="0"/>
              </w:rPr>
            </w:pPr>
            <w:r w:rsidRPr="00473407">
              <w:rPr>
                <w:b w:val="0"/>
                <w:bCs w:val="0"/>
              </w:rPr>
              <w:t>Azure data service</w:t>
            </w:r>
            <w:r w:rsidR="009237D2" w:rsidRPr="00473407">
              <w:rPr>
                <w:b w:val="0"/>
                <w:bCs w:val="0"/>
              </w:rPr>
              <w:t>s expertise (</w:t>
            </w:r>
            <w:r w:rsidR="009E0143" w:rsidRPr="00473407">
              <w:rPr>
                <w:b w:val="0"/>
                <w:bCs w:val="0"/>
              </w:rPr>
              <w:t xml:space="preserve">Azure Data Factory, </w:t>
            </w:r>
            <w:r w:rsidR="00473407" w:rsidRPr="00473407">
              <w:rPr>
                <w:b w:val="0"/>
                <w:bCs w:val="0"/>
              </w:rPr>
              <w:t>Azure Database services)</w:t>
            </w:r>
          </w:p>
          <w:p w14:paraId="497FC443" w14:textId="7330C8B1" w:rsidR="000A43C2" w:rsidRPr="00625E67" w:rsidRDefault="00C74EB3" w:rsidP="00AB039C">
            <w:pPr>
              <w:pStyle w:val="ListParagraph"/>
              <w:numPr>
                <w:ilvl w:val="0"/>
                <w:numId w:val="11"/>
              </w:numPr>
              <w:jc w:val="both"/>
              <w:rPr>
                <w:b w:val="0"/>
                <w:bCs w:val="0"/>
                <w:color w:val="000000" w:themeColor="text1"/>
              </w:rPr>
            </w:pPr>
            <w:r w:rsidRPr="00625E67">
              <w:rPr>
                <w:b w:val="0"/>
                <w:bCs w:val="0"/>
                <w:color w:val="000000" w:themeColor="text1"/>
              </w:rPr>
              <w:t>C</w:t>
            </w:r>
            <w:r w:rsidR="003975FB" w:rsidRPr="00625E67">
              <w:rPr>
                <w:b w:val="0"/>
                <w:bCs w:val="0"/>
                <w:color w:val="000000" w:themeColor="text1"/>
              </w:rPr>
              <w:t>reation of data architecture strategies</w:t>
            </w:r>
          </w:p>
          <w:p w14:paraId="595AFC50" w14:textId="77777777" w:rsidR="00B33585" w:rsidRPr="00625E67" w:rsidRDefault="000A43C2" w:rsidP="00AB039C">
            <w:pPr>
              <w:pStyle w:val="ListParagraph"/>
              <w:numPr>
                <w:ilvl w:val="0"/>
                <w:numId w:val="11"/>
              </w:numPr>
              <w:jc w:val="both"/>
              <w:rPr>
                <w:b w:val="0"/>
                <w:bCs w:val="0"/>
                <w:color w:val="000000" w:themeColor="text1"/>
              </w:rPr>
            </w:pPr>
            <w:r w:rsidRPr="00625E67">
              <w:rPr>
                <w:b w:val="0"/>
                <w:bCs w:val="0"/>
                <w:color w:val="000000" w:themeColor="text1"/>
              </w:rPr>
              <w:t>Lead the development of design and standards cover</w:t>
            </w:r>
            <w:r w:rsidR="00B33585" w:rsidRPr="00625E67">
              <w:rPr>
                <w:b w:val="0"/>
                <w:bCs w:val="0"/>
                <w:color w:val="000000" w:themeColor="text1"/>
              </w:rPr>
              <w:t>ing the end-to-end data life cycle</w:t>
            </w:r>
          </w:p>
          <w:p w14:paraId="2CC51AB3" w14:textId="049B9090" w:rsidR="002A1FF7" w:rsidRPr="00625E67" w:rsidRDefault="00B33585" w:rsidP="00AB039C">
            <w:pPr>
              <w:pStyle w:val="ListParagraph"/>
              <w:numPr>
                <w:ilvl w:val="0"/>
                <w:numId w:val="11"/>
              </w:numPr>
              <w:jc w:val="both"/>
              <w:rPr>
                <w:b w:val="0"/>
                <w:bCs w:val="0"/>
                <w:color w:val="000000" w:themeColor="text1"/>
              </w:rPr>
            </w:pPr>
            <w:r w:rsidRPr="00625E67">
              <w:rPr>
                <w:b w:val="0"/>
                <w:bCs w:val="0"/>
                <w:color w:val="000000" w:themeColor="text1"/>
              </w:rPr>
              <w:t>Translating business requirements into deliverable data solutions</w:t>
            </w:r>
            <w:r w:rsidR="004963CF" w:rsidRPr="00625E67">
              <w:rPr>
                <w:b w:val="0"/>
                <w:bCs w:val="0"/>
                <w:color w:val="000000" w:themeColor="text1"/>
              </w:rPr>
              <w:t>;</w:t>
            </w:r>
            <w:r w:rsidRPr="00625E67">
              <w:rPr>
                <w:b w:val="0"/>
                <w:bCs w:val="0"/>
                <w:color w:val="000000" w:themeColor="text1"/>
              </w:rPr>
              <w:t xml:space="preserve"> that include data streams, </w:t>
            </w:r>
            <w:r w:rsidR="004963CF" w:rsidRPr="00625E67">
              <w:rPr>
                <w:b w:val="0"/>
                <w:bCs w:val="0"/>
                <w:color w:val="000000" w:themeColor="text1"/>
              </w:rPr>
              <w:t>integrations</w:t>
            </w:r>
            <w:r w:rsidRPr="00625E67">
              <w:rPr>
                <w:b w:val="0"/>
                <w:bCs w:val="0"/>
                <w:color w:val="000000" w:themeColor="text1"/>
              </w:rPr>
              <w:t xml:space="preserve">, transformations, storage, reporting and </w:t>
            </w:r>
            <w:r w:rsidR="004963CF" w:rsidRPr="00625E67">
              <w:rPr>
                <w:b w:val="0"/>
                <w:bCs w:val="0"/>
                <w:color w:val="000000" w:themeColor="text1"/>
              </w:rPr>
              <w:t xml:space="preserve">analytics (BI). </w:t>
            </w:r>
            <w:r w:rsidR="003975FB" w:rsidRPr="00625E67">
              <w:rPr>
                <w:b w:val="0"/>
                <w:bCs w:val="0"/>
                <w:color w:val="000000" w:themeColor="text1"/>
              </w:rPr>
              <w:t xml:space="preserve"> </w:t>
            </w:r>
          </w:p>
          <w:p w14:paraId="5E86BCE3" w14:textId="7209335E" w:rsidR="00910C4B" w:rsidRDefault="00910C4B" w:rsidP="002767B0">
            <w:pPr>
              <w:jc w:val="both"/>
              <w:rPr>
                <w:bCs w:val="0"/>
              </w:rPr>
            </w:pPr>
          </w:p>
          <w:p w14:paraId="7830E244" w14:textId="577E68C8" w:rsidR="00255B29" w:rsidRPr="00255B29" w:rsidRDefault="00255B29" w:rsidP="002767B0">
            <w:pPr>
              <w:jc w:val="both"/>
            </w:pPr>
            <w:r w:rsidRPr="00255B29">
              <w:t>Key Responsibilities</w:t>
            </w:r>
          </w:p>
          <w:p w14:paraId="1ABA2A9D" w14:textId="77777777" w:rsidR="00D51AAB" w:rsidRPr="00D51AAB" w:rsidRDefault="00D51AAB" w:rsidP="00D51AAB">
            <w:pPr>
              <w:pStyle w:val="ListParagraph"/>
              <w:numPr>
                <w:ilvl w:val="0"/>
                <w:numId w:val="12"/>
              </w:numPr>
              <w:jc w:val="both"/>
              <w:rPr>
                <w:b w:val="0"/>
                <w:bCs w:val="0"/>
              </w:rPr>
            </w:pPr>
            <w:r w:rsidRPr="00D51AAB">
              <w:rPr>
                <w:b w:val="0"/>
                <w:bCs w:val="0"/>
              </w:rPr>
              <w:t xml:space="preserve">You will work collaboratively with account teams to determine the best engagements for a given opportunity to maximize customer benefit and accelerate deals success. You will use your technical knowledge to show customers an inspiring digital vision, across all </w:t>
            </w:r>
            <w:r>
              <w:rPr>
                <w:b w:val="0"/>
                <w:bCs w:val="0"/>
              </w:rPr>
              <w:t xml:space="preserve">Public Cloud </w:t>
            </w:r>
            <w:r w:rsidRPr="00D51AAB">
              <w:rPr>
                <w:b w:val="0"/>
                <w:bCs w:val="0"/>
              </w:rPr>
              <w:t>workloads, as well as deeper engagement in your core specialism.</w:t>
            </w:r>
          </w:p>
          <w:p w14:paraId="7301825A" w14:textId="77777777" w:rsidR="00D51AAB" w:rsidRPr="00D51AAB" w:rsidRDefault="00D51AAB" w:rsidP="00D51AAB">
            <w:pPr>
              <w:pStyle w:val="ListParagraph"/>
              <w:numPr>
                <w:ilvl w:val="0"/>
                <w:numId w:val="12"/>
              </w:numPr>
              <w:jc w:val="both"/>
              <w:rPr>
                <w:b w:val="0"/>
                <w:bCs w:val="0"/>
              </w:rPr>
            </w:pPr>
            <w:r w:rsidRPr="00D51AAB">
              <w:rPr>
                <w:b w:val="0"/>
                <w:bCs w:val="0"/>
              </w:rPr>
              <w:t>You will map the agreed customer vision into a strategy for implementation, resolving concerns, removing technical blockers, and validating a strong business case for investment.</w:t>
            </w:r>
          </w:p>
          <w:p w14:paraId="1BDC934D" w14:textId="77777777" w:rsidR="001C7259" w:rsidRPr="00EF1BC8" w:rsidRDefault="00D51AAB" w:rsidP="00EF1BC8">
            <w:pPr>
              <w:pStyle w:val="ListParagraph"/>
              <w:numPr>
                <w:ilvl w:val="0"/>
                <w:numId w:val="12"/>
              </w:numPr>
              <w:jc w:val="both"/>
              <w:rPr>
                <w:b w:val="0"/>
                <w:bCs w:val="0"/>
              </w:rPr>
            </w:pPr>
            <w:r w:rsidRPr="00D51AAB">
              <w:rPr>
                <w:b w:val="0"/>
                <w:bCs w:val="0"/>
              </w:rPr>
              <w:t>You will work with the customer, wider account team resources and our partners to orchestrate a roadmap for implementation.</w:t>
            </w:r>
          </w:p>
          <w:p w14:paraId="4A943398" w14:textId="77777777" w:rsidR="00EF1BC8" w:rsidRPr="00EF1BC8" w:rsidRDefault="00EF1BC8" w:rsidP="00EF1BC8">
            <w:pPr>
              <w:pStyle w:val="ListParagraph"/>
              <w:numPr>
                <w:ilvl w:val="0"/>
                <w:numId w:val="12"/>
              </w:numPr>
              <w:jc w:val="both"/>
              <w:rPr>
                <w:b w:val="0"/>
                <w:bCs w:val="0"/>
              </w:rPr>
            </w:pPr>
            <w:r w:rsidRPr="00EF1BC8">
              <w:rPr>
                <w:b w:val="0"/>
                <w:bCs w:val="0"/>
              </w:rPr>
              <w:t>Uses knowledge of customer context, and deep technical, domain, and industry knowledge to build credibility with customers.</w:t>
            </w:r>
          </w:p>
          <w:p w14:paraId="328C1D7E" w14:textId="77777777" w:rsidR="00EF1BC8" w:rsidRPr="00EF1BC8" w:rsidRDefault="00EF1BC8" w:rsidP="00EF1BC8">
            <w:pPr>
              <w:pStyle w:val="ListParagraph"/>
              <w:numPr>
                <w:ilvl w:val="0"/>
                <w:numId w:val="12"/>
              </w:numPr>
              <w:jc w:val="both"/>
              <w:rPr>
                <w:b w:val="0"/>
                <w:bCs w:val="0"/>
              </w:rPr>
            </w:pPr>
            <w:r w:rsidRPr="00EF1BC8">
              <w:rPr>
                <w:b w:val="0"/>
                <w:bCs w:val="0"/>
              </w:rPr>
              <w:t>Leads and ensures complex technical wins (e.g., cross-workload, cross-team, cross-geo, subsidiary-level impact) by establishing rules of engagement (e.g., role boundaries, handoff strategies), coaching others (e.g., technical sellers, account teams), leveraging knowledge of processes (e.g., Managed Service Provider [MSP], Managed Certified Professional [MCP]), tools, and programs (e.g., FastTrack, End Customer Investment Funds [ECIFs]). Ensures alignment of Microsoft technologies with future sector standards and requirements by working with industry boards and driving customer case studies and references.</w:t>
            </w:r>
          </w:p>
          <w:p w14:paraId="6A17D953" w14:textId="44544B5B" w:rsidR="00EF1BC8" w:rsidRPr="00EF1BC8" w:rsidRDefault="00EF1BC8" w:rsidP="00EF1BC8">
            <w:pPr>
              <w:pStyle w:val="ListParagraph"/>
              <w:numPr>
                <w:ilvl w:val="0"/>
                <w:numId w:val="12"/>
              </w:numPr>
              <w:jc w:val="both"/>
              <w:rPr>
                <w:b w:val="0"/>
                <w:bCs w:val="0"/>
              </w:rPr>
            </w:pPr>
            <w:r w:rsidRPr="00EF1BC8">
              <w:rPr>
                <w:b w:val="0"/>
                <w:bCs w:val="0"/>
              </w:rPr>
              <w:t>Leverages knowledge of resources (e.g., roles, Microsoft Technology Center [MTC], demo sites, virtual sites) and proactively engages product teams (e.g., engineering) to remediate escalated technical blockers by conveying impact and anticipating and addressing future potential blockers based on needs.</w:t>
            </w:r>
          </w:p>
        </w:tc>
      </w:tr>
      <w:tr w:rsidR="009778DE" w14:paraId="2B8500CB" w14:textId="77777777" w:rsidTr="00101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6CA5753" w14:textId="77777777" w:rsidR="009778DE" w:rsidRPr="003D4AC9" w:rsidRDefault="009778DE" w:rsidP="002767B0">
            <w:pPr>
              <w:jc w:val="both"/>
            </w:pPr>
          </w:p>
        </w:tc>
      </w:tr>
    </w:tbl>
    <w:p w14:paraId="68BCF982" w14:textId="78CD745A" w:rsidR="00291FB9" w:rsidRDefault="00291FB9" w:rsidP="00CF291C">
      <w:pPr>
        <w:jc w:val="both"/>
        <w:rPr>
          <w:b/>
          <w:bCs/>
        </w:rPr>
      </w:pPr>
    </w:p>
    <w:p w14:paraId="7CF5AB62" w14:textId="77777777" w:rsidR="00291FB9" w:rsidRDefault="00291FB9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4C872CC6" w14:textId="77777777" w:rsidR="007662F5" w:rsidRDefault="007662F5" w:rsidP="00CF291C">
      <w:pPr>
        <w:jc w:val="both"/>
        <w:rPr>
          <w:b/>
          <w:bCs/>
        </w:rPr>
      </w:pPr>
    </w:p>
    <w:tbl>
      <w:tblPr>
        <w:tblStyle w:val="ListTable3-Accent1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662F5" w14:paraId="4A5E7750" w14:textId="77777777" w:rsidTr="00101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  <w:tcBorders>
              <w:bottom w:val="single" w:sz="4" w:space="0" w:color="00B0F0"/>
            </w:tcBorders>
            <w:shd w:val="clear" w:color="auto" w:fill="00B0F0"/>
          </w:tcPr>
          <w:p w14:paraId="34BCCF03" w14:textId="229E6C45" w:rsidR="007662F5" w:rsidRPr="007662F5" w:rsidRDefault="007662F5" w:rsidP="00255B29">
            <w:pPr>
              <w:jc w:val="both"/>
            </w:pPr>
            <w:r w:rsidRPr="007662F5">
              <w:rPr>
                <w:sz w:val="32"/>
                <w:szCs w:val="32"/>
              </w:rPr>
              <w:t xml:space="preserve">Attributes of </w:t>
            </w:r>
            <w:r w:rsidR="00255B29">
              <w:rPr>
                <w:sz w:val="32"/>
                <w:szCs w:val="32"/>
              </w:rPr>
              <w:t>S</w:t>
            </w:r>
            <w:r w:rsidRPr="007662F5">
              <w:rPr>
                <w:sz w:val="32"/>
                <w:szCs w:val="32"/>
              </w:rPr>
              <w:t xml:space="preserve">uccessful </w:t>
            </w:r>
            <w:r w:rsidR="00255B29">
              <w:rPr>
                <w:sz w:val="32"/>
                <w:szCs w:val="32"/>
              </w:rPr>
              <w:t>C</w:t>
            </w:r>
            <w:r w:rsidRPr="007662F5">
              <w:rPr>
                <w:sz w:val="32"/>
                <w:szCs w:val="32"/>
              </w:rPr>
              <w:t>andidate</w:t>
            </w:r>
          </w:p>
        </w:tc>
      </w:tr>
      <w:tr w:rsidR="007662F5" w14:paraId="0B5294BB" w14:textId="77777777" w:rsidTr="00101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3C0A310" w14:textId="3007FE84" w:rsidR="004B6B8E" w:rsidRPr="004B6B8E" w:rsidRDefault="002F0C1D" w:rsidP="00A22001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Passionate about </w:t>
            </w:r>
            <w:r w:rsidR="00EB6301">
              <w:rPr>
                <w:b w:val="0"/>
              </w:rPr>
              <w:t>data services</w:t>
            </w:r>
            <w:r w:rsidR="00EE49DF">
              <w:rPr>
                <w:b w:val="0"/>
              </w:rPr>
              <w:t>.</w:t>
            </w:r>
          </w:p>
          <w:p w14:paraId="0EB4DB77" w14:textId="603C6963" w:rsidR="00AA72BA" w:rsidRPr="004B6B8E" w:rsidRDefault="00AA72BA" w:rsidP="009B14B4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Logical and process orientated; ability to understand the </w:t>
            </w:r>
            <w:r w:rsidR="00C7546C">
              <w:rPr>
                <w:b w:val="0"/>
              </w:rPr>
              <w:t>customer’s</w:t>
            </w:r>
            <w:r>
              <w:rPr>
                <w:b w:val="0"/>
              </w:rPr>
              <w:t xml:space="preserve"> journey.</w:t>
            </w:r>
          </w:p>
          <w:p w14:paraId="08A3ED3C" w14:textId="25F1802B" w:rsidR="004B6B8E" w:rsidRPr="00AA72BA" w:rsidRDefault="004B6B8E" w:rsidP="009B14B4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jc w:val="both"/>
              <w:rPr>
                <w:b w:val="0"/>
              </w:rPr>
            </w:pPr>
            <w:r>
              <w:rPr>
                <w:b w:val="0"/>
              </w:rPr>
              <w:t>Confidence and the ability to challenge norms and existing processes.</w:t>
            </w:r>
          </w:p>
          <w:p w14:paraId="789F1E19" w14:textId="08B46216" w:rsidR="00440E61" w:rsidRPr="00EE49DF" w:rsidRDefault="00AA72BA" w:rsidP="00EE49DF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jc w:val="both"/>
              <w:rPr>
                <w:b w:val="0"/>
              </w:rPr>
            </w:pPr>
            <w:r>
              <w:rPr>
                <w:b w:val="0"/>
              </w:rPr>
              <w:t>Able to prioritise and manage</w:t>
            </w:r>
            <w:r w:rsidR="00C7546C">
              <w:rPr>
                <w:b w:val="0"/>
              </w:rPr>
              <w:t xml:space="preserve"> a broad range of inputs </w:t>
            </w:r>
            <w:r w:rsidR="005C5A53">
              <w:rPr>
                <w:b w:val="0"/>
              </w:rPr>
              <w:t>to</w:t>
            </w:r>
            <w:r w:rsidR="00C7546C">
              <w:rPr>
                <w:b w:val="0"/>
              </w:rPr>
              <w:t xml:space="preserve"> ensure focus</w:t>
            </w:r>
            <w:r w:rsidR="001C7259">
              <w:rPr>
                <w:b w:val="0"/>
              </w:rPr>
              <w:t>,</w:t>
            </w:r>
            <w:r w:rsidR="00C7546C">
              <w:rPr>
                <w:b w:val="0"/>
              </w:rPr>
              <w:t xml:space="preserve"> </w:t>
            </w:r>
            <w:r w:rsidR="001C7259">
              <w:rPr>
                <w:b w:val="0"/>
              </w:rPr>
              <w:t>i</w:t>
            </w:r>
            <w:r w:rsidR="00C7546C">
              <w:rPr>
                <w:b w:val="0"/>
              </w:rPr>
              <w:t xml:space="preserve">mpact </w:t>
            </w:r>
            <w:r w:rsidR="001C7259">
              <w:rPr>
                <w:b w:val="0"/>
              </w:rPr>
              <w:t xml:space="preserve">and delivery </w:t>
            </w:r>
            <w:r w:rsidR="00C7546C">
              <w:rPr>
                <w:b w:val="0"/>
              </w:rPr>
              <w:t>is achieved.</w:t>
            </w:r>
          </w:p>
        </w:tc>
      </w:tr>
    </w:tbl>
    <w:p w14:paraId="7A206FEB" w14:textId="428D95F0" w:rsidR="00122D5D" w:rsidRDefault="00122D5D" w:rsidP="00CF291C">
      <w:pPr>
        <w:jc w:val="both"/>
      </w:pPr>
    </w:p>
    <w:tbl>
      <w:tblPr>
        <w:tblStyle w:val="ListTable3-Accent1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662F5" w14:paraId="4AC21525" w14:textId="77777777" w:rsidTr="00101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  <w:tcBorders>
              <w:bottom w:val="single" w:sz="4" w:space="0" w:color="00B0F0"/>
            </w:tcBorders>
            <w:shd w:val="clear" w:color="auto" w:fill="00B0F0"/>
          </w:tcPr>
          <w:p w14:paraId="49728E18" w14:textId="1E1227D4" w:rsidR="007662F5" w:rsidRPr="007662F5" w:rsidRDefault="00255B29" w:rsidP="00255B29">
            <w:pPr>
              <w:jc w:val="both"/>
            </w:pPr>
            <w:r w:rsidRPr="00255B29">
              <w:rPr>
                <w:sz w:val="32"/>
                <w:szCs w:val="32"/>
              </w:rPr>
              <w:t>Skills</w:t>
            </w:r>
            <w:r w:rsidR="00DB7CD7">
              <w:rPr>
                <w:sz w:val="32"/>
                <w:szCs w:val="32"/>
              </w:rPr>
              <w:t>,</w:t>
            </w:r>
            <w:r w:rsidRPr="00255B29">
              <w:rPr>
                <w:sz w:val="32"/>
                <w:szCs w:val="32"/>
              </w:rPr>
              <w:t xml:space="preserve"> Knowledge &amp; Experience</w:t>
            </w:r>
          </w:p>
        </w:tc>
      </w:tr>
      <w:tr w:rsidR="007662F5" w14:paraId="3494CDAD" w14:textId="77777777" w:rsidTr="00101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84A64B3" w14:textId="413A2624" w:rsidR="00255B29" w:rsidRDefault="00255B29" w:rsidP="00255B29">
            <w:pPr>
              <w:jc w:val="both"/>
              <w:rPr>
                <w:bCs w:val="0"/>
              </w:rPr>
            </w:pPr>
            <w:r w:rsidRPr="00255B29">
              <w:rPr>
                <w:b w:val="0"/>
              </w:rPr>
              <w:t xml:space="preserve">The ideal candidate will be </w:t>
            </w:r>
            <w:r w:rsidRPr="00BF03A1">
              <w:rPr>
                <w:b w:val="0"/>
              </w:rPr>
              <w:t xml:space="preserve">self-motivated with </w:t>
            </w:r>
            <w:r w:rsidR="004B6B8E" w:rsidRPr="00BF03A1">
              <w:rPr>
                <w:b w:val="0"/>
              </w:rPr>
              <w:t>proven ability to</w:t>
            </w:r>
            <w:r w:rsidR="00C22D8F" w:rsidRPr="00BF03A1">
              <w:rPr>
                <w:b w:val="0"/>
              </w:rPr>
              <w:t xml:space="preserve"> </w:t>
            </w:r>
            <w:r w:rsidR="004B6B8E" w:rsidRPr="00BF03A1">
              <w:rPr>
                <w:b w:val="0"/>
              </w:rPr>
              <w:t xml:space="preserve">define and </w:t>
            </w:r>
            <w:r w:rsidR="00C22D8F" w:rsidRPr="00BF03A1">
              <w:rPr>
                <w:b w:val="0"/>
              </w:rPr>
              <w:t>lead a</w:t>
            </w:r>
            <w:r w:rsidR="00FA0FF8" w:rsidRPr="00BF03A1">
              <w:rPr>
                <w:b w:val="0"/>
              </w:rPr>
              <w:t xml:space="preserve"> product </w:t>
            </w:r>
            <w:r w:rsidR="004B6B8E" w:rsidRPr="00BF03A1">
              <w:rPr>
                <w:b w:val="0"/>
              </w:rPr>
              <w:t xml:space="preserve">operations </w:t>
            </w:r>
            <w:r w:rsidR="001C7259" w:rsidRPr="00BF03A1">
              <w:rPr>
                <w:b w:val="0"/>
              </w:rPr>
              <w:t>function at an MSP</w:t>
            </w:r>
            <w:r w:rsidR="00720A87">
              <w:rPr>
                <w:b w:val="0"/>
              </w:rPr>
              <w:t>.</w:t>
            </w:r>
          </w:p>
          <w:p w14:paraId="366795CE" w14:textId="77777777" w:rsidR="00255B29" w:rsidRDefault="00255B29" w:rsidP="00255B29">
            <w:pPr>
              <w:jc w:val="both"/>
              <w:rPr>
                <w:b w:val="0"/>
              </w:rPr>
            </w:pPr>
          </w:p>
          <w:p w14:paraId="3A43046A" w14:textId="77777777" w:rsidR="009763FA" w:rsidRPr="00255B29" w:rsidRDefault="009763FA" w:rsidP="009763FA">
            <w:pPr>
              <w:jc w:val="both"/>
              <w:rPr>
                <w:u w:val="single"/>
              </w:rPr>
            </w:pPr>
            <w:r w:rsidRPr="00255B29">
              <w:rPr>
                <w:u w:val="single"/>
              </w:rPr>
              <w:t>Skills</w:t>
            </w:r>
          </w:p>
          <w:p w14:paraId="380D3930" w14:textId="77777777" w:rsidR="009763FA" w:rsidRPr="00A9588B" w:rsidRDefault="009763FA" w:rsidP="009763FA">
            <w:pPr>
              <w:jc w:val="both"/>
            </w:pPr>
            <w:r w:rsidRPr="00A9588B">
              <w:t>Essential:</w:t>
            </w:r>
          </w:p>
          <w:p w14:paraId="6E57C8BE" w14:textId="52986EB9" w:rsidR="009763FA" w:rsidRPr="00A9588B" w:rsidRDefault="009763FA" w:rsidP="009763FA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</w:rPr>
            </w:pPr>
            <w:r w:rsidRPr="00A9588B">
              <w:rPr>
                <w:b w:val="0"/>
              </w:rPr>
              <w:t xml:space="preserve">Minimum </w:t>
            </w:r>
            <w:r w:rsidR="00953D54">
              <w:rPr>
                <w:b w:val="0"/>
              </w:rPr>
              <w:t>5</w:t>
            </w:r>
            <w:r w:rsidR="00473283">
              <w:rPr>
                <w:b w:val="0"/>
              </w:rPr>
              <w:t xml:space="preserve"> </w:t>
            </w:r>
            <w:r w:rsidRPr="00A9588B">
              <w:rPr>
                <w:b w:val="0"/>
              </w:rPr>
              <w:t xml:space="preserve">years’ experience </w:t>
            </w:r>
            <w:r w:rsidR="005B4D78">
              <w:rPr>
                <w:b w:val="0"/>
              </w:rPr>
              <w:t xml:space="preserve">working in </w:t>
            </w:r>
            <w:r w:rsidR="00D3245F">
              <w:rPr>
                <w:b w:val="0"/>
              </w:rPr>
              <w:t xml:space="preserve">Azure/AWS infrastructure or data </w:t>
            </w:r>
            <w:r w:rsidR="005B4D78">
              <w:rPr>
                <w:b w:val="0"/>
              </w:rPr>
              <w:t>roles.</w:t>
            </w:r>
          </w:p>
          <w:p w14:paraId="38BD06DA" w14:textId="014521F0" w:rsidR="009763FA" w:rsidRPr="009763FA" w:rsidRDefault="005B4D78" w:rsidP="009763FA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Minimum </w:t>
            </w:r>
            <w:r w:rsidR="00473283">
              <w:rPr>
                <w:b w:val="0"/>
              </w:rPr>
              <w:t>5</w:t>
            </w:r>
            <w:r>
              <w:rPr>
                <w:b w:val="0"/>
              </w:rPr>
              <w:t xml:space="preserve"> years’ experience working in a technology service provider; understand</w:t>
            </w:r>
            <w:r w:rsidR="0074402D">
              <w:rPr>
                <w:b w:val="0"/>
              </w:rPr>
              <w:t>s</w:t>
            </w:r>
            <w:r>
              <w:rPr>
                <w:b w:val="0"/>
              </w:rPr>
              <w:t xml:space="preserve"> the role of a</w:t>
            </w:r>
            <w:r w:rsidR="0003100D">
              <w:rPr>
                <w:b w:val="0"/>
              </w:rPr>
              <w:t>n</w:t>
            </w:r>
            <w:r>
              <w:rPr>
                <w:b w:val="0"/>
              </w:rPr>
              <w:t xml:space="preserve"> </w:t>
            </w:r>
            <w:r w:rsidR="0074402D">
              <w:rPr>
                <w:b w:val="0"/>
              </w:rPr>
              <w:t>MSP.</w:t>
            </w:r>
          </w:p>
          <w:p w14:paraId="03A9D1C7" w14:textId="71B19242" w:rsidR="00BD57F4" w:rsidRPr="00BD57F4" w:rsidRDefault="00AD7D5A" w:rsidP="004B6B8E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</w:rPr>
            </w:pPr>
            <w:r>
              <w:rPr>
                <w:b w:val="0"/>
              </w:rPr>
              <w:t>Bachelor’s degree/</w:t>
            </w:r>
            <w:r w:rsidR="00BD57F4">
              <w:rPr>
                <w:b w:val="0"/>
              </w:rPr>
              <w:t>University degree</w:t>
            </w:r>
          </w:p>
          <w:p w14:paraId="3038F1A9" w14:textId="2449FD19" w:rsidR="008B435F" w:rsidRPr="001C7259" w:rsidRDefault="000F7C24" w:rsidP="004B6B8E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Demonstrable evidence of </w:t>
            </w:r>
            <w:r w:rsidR="00D3245F">
              <w:rPr>
                <w:b w:val="0"/>
              </w:rPr>
              <w:t>working with customers to develop data solutions resulting in successful business outcomes</w:t>
            </w:r>
          </w:p>
          <w:p w14:paraId="20A47A06" w14:textId="77B00726" w:rsidR="001C7259" w:rsidRPr="004B6B8E" w:rsidRDefault="001C7259" w:rsidP="004B6B8E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</w:rPr>
            </w:pPr>
            <w:r>
              <w:rPr>
                <w:b w:val="0"/>
              </w:rPr>
              <w:t>Experience driving operational best practices into a corporate environment.</w:t>
            </w:r>
          </w:p>
          <w:p w14:paraId="57A44114" w14:textId="0807C6FB" w:rsidR="004B60F5" w:rsidRPr="00625E67" w:rsidRDefault="004B6B8E" w:rsidP="009763FA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</w:rPr>
            </w:pPr>
            <w:r>
              <w:rPr>
                <w:b w:val="0"/>
              </w:rPr>
              <w:t>Strong c</w:t>
            </w:r>
            <w:r w:rsidR="004B60F5">
              <w:rPr>
                <w:b w:val="0"/>
              </w:rPr>
              <w:t>ommunication</w:t>
            </w:r>
            <w:r w:rsidR="00EE49DF">
              <w:rPr>
                <w:b w:val="0"/>
              </w:rPr>
              <w:t xml:space="preserve"> (verbal &amp; written)</w:t>
            </w:r>
            <w:r>
              <w:rPr>
                <w:b w:val="0"/>
              </w:rPr>
              <w:t xml:space="preserve">, organisational, </w:t>
            </w:r>
            <w:r w:rsidR="00EE49DF">
              <w:rPr>
                <w:b w:val="0"/>
              </w:rPr>
              <w:t xml:space="preserve">data interpretation, analytical, </w:t>
            </w:r>
            <w:r>
              <w:rPr>
                <w:b w:val="0"/>
              </w:rPr>
              <w:t>presentation</w:t>
            </w:r>
            <w:r w:rsidR="00EE49DF">
              <w:rPr>
                <w:b w:val="0"/>
              </w:rPr>
              <w:t xml:space="preserve">, interpersonal, influencing </w:t>
            </w:r>
            <w:r>
              <w:rPr>
                <w:b w:val="0"/>
              </w:rPr>
              <w:t xml:space="preserve">and </w:t>
            </w:r>
            <w:r w:rsidR="00EE49DF">
              <w:rPr>
                <w:b w:val="0"/>
              </w:rPr>
              <w:t xml:space="preserve">leadership </w:t>
            </w:r>
            <w:r w:rsidR="004B60F5">
              <w:rPr>
                <w:b w:val="0"/>
              </w:rPr>
              <w:t>skills.</w:t>
            </w:r>
          </w:p>
          <w:p w14:paraId="3B348A71" w14:textId="1767406B" w:rsidR="004F172F" w:rsidRPr="00625E67" w:rsidRDefault="0089566C" w:rsidP="009763FA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</w:rPr>
            </w:pPr>
            <w:r>
              <w:rPr>
                <w:b w:val="0"/>
              </w:rPr>
              <w:t>Demonstratabl</w:t>
            </w:r>
            <w:r>
              <w:rPr>
                <w:bCs w:val="0"/>
              </w:rPr>
              <w:t>e</w:t>
            </w:r>
            <w:r>
              <w:rPr>
                <w:b w:val="0"/>
              </w:rPr>
              <w:t xml:space="preserve"> </w:t>
            </w:r>
            <w:r w:rsidR="00A56B7D">
              <w:rPr>
                <w:b w:val="0"/>
              </w:rPr>
              <w:t>experienc</w:t>
            </w:r>
            <w:r w:rsidR="00A56B7D">
              <w:rPr>
                <w:bCs w:val="0"/>
              </w:rPr>
              <w:t>e</w:t>
            </w:r>
            <w:r>
              <w:rPr>
                <w:b w:val="0"/>
              </w:rPr>
              <w:t xml:space="preserve"> with </w:t>
            </w:r>
            <w:r w:rsidR="00A56B7D">
              <w:rPr>
                <w:b w:val="0"/>
              </w:rPr>
              <w:t xml:space="preserve">Microsoft Data Services Portfolio including Data Warehouses, Data Factory and Synapse </w:t>
            </w:r>
          </w:p>
          <w:p w14:paraId="338D1BE7" w14:textId="0FFBAB1B" w:rsidR="00F37413" w:rsidRPr="00625E67" w:rsidRDefault="00D34449" w:rsidP="009763FA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</w:rPr>
            </w:pPr>
            <w:r>
              <w:rPr>
                <w:b w:val="0"/>
              </w:rPr>
              <w:t>Experience in Data Architecture role with an understanding of architecture frameworks, data modelling and data warehousing</w:t>
            </w:r>
          </w:p>
          <w:p w14:paraId="0A2DD737" w14:textId="3CA74772" w:rsidR="00F11CE4" w:rsidRPr="00625E67" w:rsidRDefault="00F11CE4" w:rsidP="00DE75E1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</w:rPr>
            </w:pPr>
            <w:r>
              <w:rPr>
                <w:b w:val="0"/>
              </w:rPr>
              <w:t>Experience defining data lake and data warehousing architectures and supporting schemas and pipelines</w:t>
            </w:r>
          </w:p>
          <w:p w14:paraId="68BC0BFC" w14:textId="13B5365A" w:rsidR="00DE75E1" w:rsidRPr="00625E67" w:rsidRDefault="00DE75E1" w:rsidP="00DE75E1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</w:rPr>
            </w:pPr>
            <w:r>
              <w:rPr>
                <w:b w:val="0"/>
              </w:rPr>
              <w:t>Experienc</w:t>
            </w:r>
            <w:r>
              <w:rPr>
                <w:bCs w:val="0"/>
              </w:rPr>
              <w:t>e</w:t>
            </w:r>
            <w:r>
              <w:rPr>
                <w:b w:val="0"/>
              </w:rPr>
              <w:t xml:space="preserve"> with Cloud based ETL/ELT technologies and reporting tools, Power BI</w:t>
            </w:r>
          </w:p>
          <w:p w14:paraId="6657FB51" w14:textId="77777777" w:rsidR="00255B29" w:rsidRDefault="00255B29" w:rsidP="006A5139">
            <w:pPr>
              <w:jc w:val="both"/>
              <w:rPr>
                <w:b w:val="0"/>
              </w:rPr>
            </w:pPr>
          </w:p>
          <w:p w14:paraId="4E98C075" w14:textId="4ACD8241" w:rsidR="007662F5" w:rsidRPr="00A9588B" w:rsidRDefault="00255B29" w:rsidP="00255B29">
            <w:pPr>
              <w:jc w:val="both"/>
            </w:pPr>
            <w:r w:rsidRPr="00A9588B">
              <w:t xml:space="preserve">Desirable: </w:t>
            </w:r>
          </w:p>
          <w:p w14:paraId="718A5EA1" w14:textId="77777777" w:rsidR="00BF03A1" w:rsidRPr="00625E67" w:rsidRDefault="00BF03A1" w:rsidP="00BF03A1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</w:rPr>
            </w:pPr>
            <w:r>
              <w:rPr>
                <w:b w:val="0"/>
              </w:rPr>
              <w:t>Experience working within the Public Clou</w:t>
            </w:r>
            <w:r w:rsidR="00D3245F">
              <w:rPr>
                <w:b w:val="0"/>
              </w:rPr>
              <w:t>d</w:t>
            </w:r>
            <w:r w:rsidR="00720A87">
              <w:rPr>
                <w:b w:val="0"/>
              </w:rPr>
              <w:t>.</w:t>
            </w:r>
          </w:p>
          <w:p w14:paraId="551C2A6F" w14:textId="21A1D7F6" w:rsidR="00DE75E1" w:rsidRPr="00BF03A1" w:rsidRDefault="00EC4969" w:rsidP="00BF03A1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</w:rPr>
            </w:pPr>
            <w:r>
              <w:rPr>
                <w:b w:val="0"/>
              </w:rPr>
              <w:t>Experienc</w:t>
            </w:r>
            <w:r>
              <w:rPr>
                <w:bCs w:val="0"/>
              </w:rPr>
              <w:t>e</w:t>
            </w:r>
            <w:r w:rsidR="00596DF7">
              <w:rPr>
                <w:b w:val="0"/>
              </w:rPr>
              <w:t xml:space="preserve"> with PostgreSQL and Oracle Database engines</w:t>
            </w:r>
          </w:p>
        </w:tc>
      </w:tr>
    </w:tbl>
    <w:p w14:paraId="4BA32829" w14:textId="77777777" w:rsidR="0062650A" w:rsidRDefault="0062650A" w:rsidP="00CF291C">
      <w:pPr>
        <w:jc w:val="both"/>
      </w:pPr>
    </w:p>
    <w:p w14:paraId="70A54953" w14:textId="77777777" w:rsidR="00E148C2" w:rsidRDefault="00E148C2" w:rsidP="00E148C2">
      <w:pPr>
        <w:jc w:val="both"/>
        <w:rPr>
          <w:u w:val="single"/>
        </w:rPr>
      </w:pPr>
      <w:r>
        <w:rPr>
          <w:u w:val="single"/>
        </w:rPr>
        <w:br/>
      </w:r>
    </w:p>
    <w:sectPr w:rsidR="00E148C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80290" w14:textId="77777777" w:rsidR="001B603E" w:rsidRDefault="001B603E" w:rsidP="00E33695">
      <w:r>
        <w:separator/>
      </w:r>
    </w:p>
  </w:endnote>
  <w:endnote w:type="continuationSeparator" w:id="0">
    <w:p w14:paraId="0D7EEC5B" w14:textId="77777777" w:rsidR="001B603E" w:rsidRDefault="001B603E" w:rsidP="00E33695">
      <w:r>
        <w:continuationSeparator/>
      </w:r>
    </w:p>
  </w:endnote>
  <w:endnote w:type="continuationNotice" w:id="1">
    <w:p w14:paraId="3D6842CC" w14:textId="77777777" w:rsidR="001B603E" w:rsidRDefault="001B6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EF169" w14:textId="77777777" w:rsidR="001B603E" w:rsidRDefault="001B603E" w:rsidP="00E33695">
      <w:r>
        <w:separator/>
      </w:r>
    </w:p>
  </w:footnote>
  <w:footnote w:type="continuationSeparator" w:id="0">
    <w:p w14:paraId="74D14831" w14:textId="77777777" w:rsidR="001B603E" w:rsidRDefault="001B603E" w:rsidP="00E33695">
      <w:r>
        <w:continuationSeparator/>
      </w:r>
    </w:p>
  </w:footnote>
  <w:footnote w:type="continuationNotice" w:id="1">
    <w:p w14:paraId="685F3F17" w14:textId="77777777" w:rsidR="001B603E" w:rsidRDefault="001B60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B6FA2" w14:textId="77777777" w:rsidR="00E33695" w:rsidRDefault="00E3369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125BD43" wp14:editId="5FDA9977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1172210" cy="457200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-We make IT work-logo-norm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2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4D4C"/>
    <w:multiLevelType w:val="multilevel"/>
    <w:tmpl w:val="383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E724D"/>
    <w:multiLevelType w:val="hybridMultilevel"/>
    <w:tmpl w:val="823A7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03678"/>
    <w:multiLevelType w:val="hybridMultilevel"/>
    <w:tmpl w:val="9004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7546C5"/>
    <w:multiLevelType w:val="hybridMultilevel"/>
    <w:tmpl w:val="7F94B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91F78"/>
    <w:multiLevelType w:val="multilevel"/>
    <w:tmpl w:val="CD66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E53719"/>
    <w:multiLevelType w:val="hybridMultilevel"/>
    <w:tmpl w:val="E9B69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B014B0"/>
    <w:multiLevelType w:val="hybridMultilevel"/>
    <w:tmpl w:val="9992F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AC5B41"/>
    <w:multiLevelType w:val="hybridMultilevel"/>
    <w:tmpl w:val="45D68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3E54F4"/>
    <w:multiLevelType w:val="hybridMultilevel"/>
    <w:tmpl w:val="AF062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65"/>
    <w:multiLevelType w:val="hybridMultilevel"/>
    <w:tmpl w:val="7196F6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64397"/>
    <w:multiLevelType w:val="hybridMultilevel"/>
    <w:tmpl w:val="7F3CA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C57191"/>
    <w:multiLevelType w:val="multilevel"/>
    <w:tmpl w:val="2A72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5303854">
    <w:abstractNumId w:val="5"/>
  </w:num>
  <w:num w:numId="2" w16cid:durableId="888299532">
    <w:abstractNumId w:val="6"/>
  </w:num>
  <w:num w:numId="3" w16cid:durableId="1097143272">
    <w:abstractNumId w:val="7"/>
  </w:num>
  <w:num w:numId="4" w16cid:durableId="1829982664">
    <w:abstractNumId w:val="1"/>
  </w:num>
  <w:num w:numId="5" w16cid:durableId="534082805">
    <w:abstractNumId w:val="0"/>
  </w:num>
  <w:num w:numId="6" w16cid:durableId="626856551">
    <w:abstractNumId w:val="10"/>
  </w:num>
  <w:num w:numId="7" w16cid:durableId="367531086">
    <w:abstractNumId w:val="9"/>
  </w:num>
  <w:num w:numId="8" w16cid:durableId="1497183292">
    <w:abstractNumId w:val="2"/>
  </w:num>
  <w:num w:numId="9" w16cid:durableId="1989631732">
    <w:abstractNumId w:val="11"/>
  </w:num>
  <w:num w:numId="10" w16cid:durableId="1920361529">
    <w:abstractNumId w:val="4"/>
  </w:num>
  <w:num w:numId="11" w16cid:durableId="1339774692">
    <w:abstractNumId w:val="3"/>
  </w:num>
  <w:num w:numId="12" w16cid:durableId="6462520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B5"/>
    <w:rsid w:val="0001750B"/>
    <w:rsid w:val="0003100D"/>
    <w:rsid w:val="00046C7C"/>
    <w:rsid w:val="0005459F"/>
    <w:rsid w:val="00060D38"/>
    <w:rsid w:val="0007793A"/>
    <w:rsid w:val="0008118D"/>
    <w:rsid w:val="0009124E"/>
    <w:rsid w:val="00096829"/>
    <w:rsid w:val="000A238E"/>
    <w:rsid w:val="000A4083"/>
    <w:rsid w:val="000A43C2"/>
    <w:rsid w:val="000A6630"/>
    <w:rsid w:val="000B305E"/>
    <w:rsid w:val="000E1882"/>
    <w:rsid w:val="000F7C24"/>
    <w:rsid w:val="00101FC4"/>
    <w:rsid w:val="00102AAE"/>
    <w:rsid w:val="0010450B"/>
    <w:rsid w:val="00113F1A"/>
    <w:rsid w:val="00114DFD"/>
    <w:rsid w:val="0012174B"/>
    <w:rsid w:val="00122D5D"/>
    <w:rsid w:val="00133F93"/>
    <w:rsid w:val="00151571"/>
    <w:rsid w:val="00154F7E"/>
    <w:rsid w:val="00191F14"/>
    <w:rsid w:val="001A12BA"/>
    <w:rsid w:val="001A6D13"/>
    <w:rsid w:val="001A7F0F"/>
    <w:rsid w:val="001B603E"/>
    <w:rsid w:val="001C285C"/>
    <w:rsid w:val="001C41E5"/>
    <w:rsid w:val="001C7259"/>
    <w:rsid w:val="001D35B8"/>
    <w:rsid w:val="001D6AB5"/>
    <w:rsid w:val="001F1D8B"/>
    <w:rsid w:val="001F66B7"/>
    <w:rsid w:val="00223CAA"/>
    <w:rsid w:val="002253C3"/>
    <w:rsid w:val="0022630D"/>
    <w:rsid w:val="0023272C"/>
    <w:rsid w:val="00255B29"/>
    <w:rsid w:val="00256C92"/>
    <w:rsid w:val="00266627"/>
    <w:rsid w:val="00271C1A"/>
    <w:rsid w:val="002767B0"/>
    <w:rsid w:val="0027751F"/>
    <w:rsid w:val="00291FB9"/>
    <w:rsid w:val="0029519A"/>
    <w:rsid w:val="002A1FF7"/>
    <w:rsid w:val="002A4772"/>
    <w:rsid w:val="002D6F8B"/>
    <w:rsid w:val="002E15B8"/>
    <w:rsid w:val="002E4E76"/>
    <w:rsid w:val="002E525F"/>
    <w:rsid w:val="002F0C1D"/>
    <w:rsid w:val="00314009"/>
    <w:rsid w:val="003141A4"/>
    <w:rsid w:val="003201AB"/>
    <w:rsid w:val="00325008"/>
    <w:rsid w:val="003363F8"/>
    <w:rsid w:val="003366BA"/>
    <w:rsid w:val="003434A6"/>
    <w:rsid w:val="00364FF2"/>
    <w:rsid w:val="00373F84"/>
    <w:rsid w:val="00376C04"/>
    <w:rsid w:val="00380322"/>
    <w:rsid w:val="003975FB"/>
    <w:rsid w:val="003D4AC9"/>
    <w:rsid w:val="003E4A3F"/>
    <w:rsid w:val="003E63CB"/>
    <w:rsid w:val="00414D8D"/>
    <w:rsid w:val="0043246A"/>
    <w:rsid w:val="00435A1E"/>
    <w:rsid w:val="00440E61"/>
    <w:rsid w:val="00460AFA"/>
    <w:rsid w:val="00462898"/>
    <w:rsid w:val="004651AB"/>
    <w:rsid w:val="00470148"/>
    <w:rsid w:val="00473283"/>
    <w:rsid w:val="00473407"/>
    <w:rsid w:val="00481640"/>
    <w:rsid w:val="00495092"/>
    <w:rsid w:val="004963CF"/>
    <w:rsid w:val="004B309E"/>
    <w:rsid w:val="004B3DE8"/>
    <w:rsid w:val="004B60F5"/>
    <w:rsid w:val="004B6B8E"/>
    <w:rsid w:val="004B7A53"/>
    <w:rsid w:val="004F172F"/>
    <w:rsid w:val="00502A73"/>
    <w:rsid w:val="00512175"/>
    <w:rsid w:val="0051707B"/>
    <w:rsid w:val="00532F6F"/>
    <w:rsid w:val="00546613"/>
    <w:rsid w:val="005517C5"/>
    <w:rsid w:val="00585D5C"/>
    <w:rsid w:val="00590DAF"/>
    <w:rsid w:val="00596B5D"/>
    <w:rsid w:val="00596DF7"/>
    <w:rsid w:val="005B4D78"/>
    <w:rsid w:val="005C1D5E"/>
    <w:rsid w:val="005C5A53"/>
    <w:rsid w:val="005D5A0F"/>
    <w:rsid w:val="005F3689"/>
    <w:rsid w:val="0060700E"/>
    <w:rsid w:val="00625E67"/>
    <w:rsid w:val="0062650A"/>
    <w:rsid w:val="00636428"/>
    <w:rsid w:val="00645669"/>
    <w:rsid w:val="00675239"/>
    <w:rsid w:val="006A5139"/>
    <w:rsid w:val="006B2E78"/>
    <w:rsid w:val="006E6002"/>
    <w:rsid w:val="007046D5"/>
    <w:rsid w:val="00720A87"/>
    <w:rsid w:val="007412FF"/>
    <w:rsid w:val="0074402D"/>
    <w:rsid w:val="0076392E"/>
    <w:rsid w:val="007662F5"/>
    <w:rsid w:val="0077598A"/>
    <w:rsid w:val="007C054C"/>
    <w:rsid w:val="007C2C78"/>
    <w:rsid w:val="007D1DC6"/>
    <w:rsid w:val="007D2E47"/>
    <w:rsid w:val="007D65A5"/>
    <w:rsid w:val="007F6C49"/>
    <w:rsid w:val="00802AAC"/>
    <w:rsid w:val="008149FA"/>
    <w:rsid w:val="00815263"/>
    <w:rsid w:val="00867908"/>
    <w:rsid w:val="00877C9B"/>
    <w:rsid w:val="008915D1"/>
    <w:rsid w:val="0089566C"/>
    <w:rsid w:val="00895F1E"/>
    <w:rsid w:val="008A4D0B"/>
    <w:rsid w:val="008B435F"/>
    <w:rsid w:val="008F49DD"/>
    <w:rsid w:val="008F5AEA"/>
    <w:rsid w:val="00910C4B"/>
    <w:rsid w:val="00913982"/>
    <w:rsid w:val="00914C31"/>
    <w:rsid w:val="009237D2"/>
    <w:rsid w:val="00924AED"/>
    <w:rsid w:val="0092596D"/>
    <w:rsid w:val="00930C18"/>
    <w:rsid w:val="00953D54"/>
    <w:rsid w:val="009763FA"/>
    <w:rsid w:val="009778DE"/>
    <w:rsid w:val="0098535B"/>
    <w:rsid w:val="00986451"/>
    <w:rsid w:val="00991941"/>
    <w:rsid w:val="00991BC9"/>
    <w:rsid w:val="0099480C"/>
    <w:rsid w:val="009A0D86"/>
    <w:rsid w:val="009B14B4"/>
    <w:rsid w:val="009E0143"/>
    <w:rsid w:val="009E1679"/>
    <w:rsid w:val="009E1786"/>
    <w:rsid w:val="009E67A2"/>
    <w:rsid w:val="009F02CD"/>
    <w:rsid w:val="009F44C7"/>
    <w:rsid w:val="00A02868"/>
    <w:rsid w:val="00A22001"/>
    <w:rsid w:val="00A26264"/>
    <w:rsid w:val="00A46B1E"/>
    <w:rsid w:val="00A47156"/>
    <w:rsid w:val="00A51A20"/>
    <w:rsid w:val="00A56B7D"/>
    <w:rsid w:val="00A81AE2"/>
    <w:rsid w:val="00A934B9"/>
    <w:rsid w:val="00A9588B"/>
    <w:rsid w:val="00AA72BA"/>
    <w:rsid w:val="00AB039C"/>
    <w:rsid w:val="00AC2979"/>
    <w:rsid w:val="00AC5200"/>
    <w:rsid w:val="00AD3E87"/>
    <w:rsid w:val="00AD7D5A"/>
    <w:rsid w:val="00AE4C4A"/>
    <w:rsid w:val="00AE7661"/>
    <w:rsid w:val="00AF7DB2"/>
    <w:rsid w:val="00B007D5"/>
    <w:rsid w:val="00B1613C"/>
    <w:rsid w:val="00B227FA"/>
    <w:rsid w:val="00B33585"/>
    <w:rsid w:val="00B60248"/>
    <w:rsid w:val="00B7498D"/>
    <w:rsid w:val="00BA266F"/>
    <w:rsid w:val="00BD1CFD"/>
    <w:rsid w:val="00BD57F4"/>
    <w:rsid w:val="00BF03A1"/>
    <w:rsid w:val="00C00AEE"/>
    <w:rsid w:val="00C0273D"/>
    <w:rsid w:val="00C147DA"/>
    <w:rsid w:val="00C22D8F"/>
    <w:rsid w:val="00C26F7F"/>
    <w:rsid w:val="00C405DD"/>
    <w:rsid w:val="00C648F0"/>
    <w:rsid w:val="00C74EB3"/>
    <w:rsid w:val="00C7546C"/>
    <w:rsid w:val="00C938F9"/>
    <w:rsid w:val="00CB46A9"/>
    <w:rsid w:val="00CC26A3"/>
    <w:rsid w:val="00CD0A9E"/>
    <w:rsid w:val="00CD3A7E"/>
    <w:rsid w:val="00CF291C"/>
    <w:rsid w:val="00D01902"/>
    <w:rsid w:val="00D3245F"/>
    <w:rsid w:val="00D34449"/>
    <w:rsid w:val="00D36B5E"/>
    <w:rsid w:val="00D45390"/>
    <w:rsid w:val="00D51AAB"/>
    <w:rsid w:val="00D5242D"/>
    <w:rsid w:val="00D56C1B"/>
    <w:rsid w:val="00D8051E"/>
    <w:rsid w:val="00D8149A"/>
    <w:rsid w:val="00D85C15"/>
    <w:rsid w:val="00DB5FE7"/>
    <w:rsid w:val="00DB7CD7"/>
    <w:rsid w:val="00DC1E57"/>
    <w:rsid w:val="00DC6251"/>
    <w:rsid w:val="00DE75E1"/>
    <w:rsid w:val="00DF015A"/>
    <w:rsid w:val="00DF5EBA"/>
    <w:rsid w:val="00DF6B65"/>
    <w:rsid w:val="00E02162"/>
    <w:rsid w:val="00E148C2"/>
    <w:rsid w:val="00E3121D"/>
    <w:rsid w:val="00E33695"/>
    <w:rsid w:val="00E51465"/>
    <w:rsid w:val="00E61C60"/>
    <w:rsid w:val="00E910FC"/>
    <w:rsid w:val="00EA2878"/>
    <w:rsid w:val="00EA76CB"/>
    <w:rsid w:val="00EB274C"/>
    <w:rsid w:val="00EB6301"/>
    <w:rsid w:val="00EC4969"/>
    <w:rsid w:val="00EC5C8E"/>
    <w:rsid w:val="00EC6F9C"/>
    <w:rsid w:val="00ED01DA"/>
    <w:rsid w:val="00ED4A3F"/>
    <w:rsid w:val="00ED7435"/>
    <w:rsid w:val="00EE49DF"/>
    <w:rsid w:val="00EF0E0E"/>
    <w:rsid w:val="00EF1BC8"/>
    <w:rsid w:val="00EF30C0"/>
    <w:rsid w:val="00EF36A2"/>
    <w:rsid w:val="00F00F92"/>
    <w:rsid w:val="00F11CE4"/>
    <w:rsid w:val="00F37413"/>
    <w:rsid w:val="00F40D08"/>
    <w:rsid w:val="00F579AC"/>
    <w:rsid w:val="00FA0FF8"/>
    <w:rsid w:val="00FA2BD7"/>
    <w:rsid w:val="00FB7695"/>
    <w:rsid w:val="00FC347E"/>
    <w:rsid w:val="00FC515E"/>
    <w:rsid w:val="00FD1264"/>
    <w:rsid w:val="00FD255B"/>
    <w:rsid w:val="00FE616B"/>
    <w:rsid w:val="00FF5499"/>
    <w:rsid w:val="2A74F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0BC5"/>
  <w15:docId w15:val="{1B12E1BE-89DB-4D56-80C8-56EFC694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88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1E"/>
    <w:pPr>
      <w:ind w:left="720"/>
      <w:contextualSpacing/>
    </w:pPr>
  </w:style>
  <w:style w:type="table" w:styleId="TableGrid">
    <w:name w:val="Table Grid"/>
    <w:basedOn w:val="TableNormal"/>
    <w:uiPriority w:val="39"/>
    <w:rsid w:val="003D4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11">
    <w:name w:val="List Table 3 - Accent 11"/>
    <w:basedOn w:val="TableNormal"/>
    <w:uiPriority w:val="48"/>
    <w:rsid w:val="003D4AC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nhideWhenUsed/>
    <w:rsid w:val="00E336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3369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36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695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E1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78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786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78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55B2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6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619c85-f9f4-4de1-8aa5-5f717c92c3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F2F3ECFE594C85C93A990B55F525" ma:contentTypeVersion="13" ma:contentTypeDescription="Create a new document." ma:contentTypeScope="" ma:versionID="e661f5908d8f3dbe638bd9817f87de80">
  <xsd:schema xmlns:xsd="http://www.w3.org/2001/XMLSchema" xmlns:xs="http://www.w3.org/2001/XMLSchema" xmlns:p="http://schemas.microsoft.com/office/2006/metadata/properties" xmlns:ns2="1a619c85-f9f4-4de1-8aa5-5f717c92c396" xmlns:ns3="637ccded-116d-473d-9f5c-1f8ed1903993" targetNamespace="http://schemas.microsoft.com/office/2006/metadata/properties" ma:root="true" ma:fieldsID="e524219079b0e7db007d54210bd82298" ns2:_="" ns3:_="">
    <xsd:import namespace="1a619c85-f9f4-4de1-8aa5-5f717c92c396"/>
    <xsd:import namespace="637ccded-116d-473d-9f5c-1f8ed1903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19c85-f9f4-4de1-8aa5-5f717c92c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e42418-c1a3-4e6f-95ce-1aa3f0691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ccded-116d-473d-9f5c-1f8ed19039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0B8B0-A1B8-4354-A341-FFDB823BF1FE}">
  <ds:schemaRefs>
    <ds:schemaRef ds:uri="http://purl.org/dc/elements/1.1/"/>
    <ds:schemaRef ds:uri="http://schemas.microsoft.com/office/2006/documentManagement/types"/>
    <ds:schemaRef ds:uri="http://purl.org/dc/terms/"/>
    <ds:schemaRef ds:uri="1a619c85-f9f4-4de1-8aa5-5f717c92c396"/>
    <ds:schemaRef ds:uri="http://schemas.microsoft.com/office/2006/metadata/properties"/>
    <ds:schemaRef ds:uri="http://purl.org/dc/dcmitype/"/>
    <ds:schemaRef ds:uri="http://schemas.openxmlformats.org/package/2006/metadata/core-properties"/>
    <ds:schemaRef ds:uri="637ccded-116d-473d-9f5c-1f8ed1903993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B9835E-4F59-4FAA-873B-FF4A751A9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AC92E-400E-44E7-9ABD-4CE41CD92D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6EBF7B-A45C-400A-8588-B5250FD57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19c85-f9f4-4de1-8aa5-5f717c92c396"/>
    <ds:schemaRef ds:uri="637ccded-116d-473d-9f5c-1f8ed1903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Parkes</dc:creator>
  <cp:keywords/>
  <cp:lastModifiedBy>Damon Crawford</cp:lastModifiedBy>
  <cp:revision>2</cp:revision>
  <dcterms:created xsi:type="dcterms:W3CDTF">2024-10-08T17:52:00Z</dcterms:created>
  <dcterms:modified xsi:type="dcterms:W3CDTF">2024-10-08T17:52:00Z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0x0101002628F2F3ECFE594C85C93A990B55F525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